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A222" w14:textId="4D653DB0" w:rsidR="00BD2AB4" w:rsidRDefault="00BD2AB4">
      <w:r w:rsidRPr="00BD2AB4">
        <w:t>The following information is designed to explain common investment terms used in this Prospectus, the applicable KID(s), and the Relevant Supplement(s). These descriptions are primarily informational (as opposed to legal definitions) and are intended to provide helpful general descriptions of common investment terms and should be read in conjunction with the full text of this Prospectus, the applicable KID(s), and the Relevant Supplement(s). A more recent version of the glossary of investment terms, where available, may also be found within the General Fund Information page on https://investment</w:t>
      </w:r>
      <w:r>
        <w:t>-</w:t>
      </w:r>
      <w:r w:rsidRPr="00BD2AB4">
        <w:t>solutions.mercer.com.</w:t>
      </w:r>
    </w:p>
    <w:p w14:paraId="26621454" w14:textId="77777777" w:rsidR="00BD2AB4" w:rsidRDefault="00BD2AB4"/>
    <w:p w14:paraId="2FF7AD2A" w14:textId="77777777" w:rsidR="00BD2AB4" w:rsidRDefault="00BD2AB4"/>
    <w:tbl>
      <w:tblPr>
        <w:tblStyle w:val="TableGrid"/>
        <w:tblW w:w="0" w:type="auto"/>
        <w:tblLook w:val="04A0" w:firstRow="1" w:lastRow="0" w:firstColumn="1" w:lastColumn="0" w:noHBand="0" w:noVBand="1"/>
      </w:tblPr>
      <w:tblGrid>
        <w:gridCol w:w="1516"/>
        <w:gridCol w:w="7500"/>
      </w:tblGrid>
      <w:tr w:rsidR="00BD2AB4" w14:paraId="1208F708" w14:textId="77777777" w:rsidTr="00BD2AB4">
        <w:trPr>
          <w:trHeight w:val="1194"/>
        </w:trPr>
        <w:tc>
          <w:tcPr>
            <w:tcW w:w="1516" w:type="dxa"/>
          </w:tcPr>
          <w:p w14:paraId="3C6CEF2F" w14:textId="42D4C7BC" w:rsidR="00BD2AB4" w:rsidRDefault="00BD2AB4" w:rsidP="000528AD">
            <w:pPr>
              <w:spacing w:after="240"/>
              <w:rPr>
                <w:b/>
                <w:bCs/>
              </w:rPr>
            </w:pPr>
            <w:r>
              <w:rPr>
                <w:b/>
                <w:szCs w:val="20"/>
              </w:rPr>
              <w:t xml:space="preserve">below investment grade  </w:t>
            </w:r>
          </w:p>
        </w:tc>
        <w:tc>
          <w:tcPr>
            <w:tcW w:w="7500" w:type="dxa"/>
          </w:tcPr>
          <w:p w14:paraId="3A20A93A" w14:textId="77777777" w:rsidR="00BD2AB4" w:rsidRDefault="00BD2AB4" w:rsidP="000528AD">
            <w:pPr>
              <w:spacing w:after="240"/>
              <w:rPr>
                <w:b/>
                <w:bCs/>
              </w:rPr>
            </w:pPr>
            <w:r>
              <w:rPr>
                <w:rFonts w:cs="Arial"/>
                <w:szCs w:val="20"/>
                <w:shd w:val="clear" w:color="auto" w:fill="FFFFFF"/>
              </w:rPr>
              <w:t>A</w:t>
            </w:r>
            <w:r w:rsidRPr="009E0F21">
              <w:rPr>
                <w:rFonts w:cs="Arial"/>
                <w:szCs w:val="20"/>
                <w:shd w:val="clear" w:color="auto" w:fill="FFFFFF"/>
              </w:rPr>
              <w:t xml:space="preserve"> credit quality rating of below BBB-/Baa3, rated by Moody’s, Standard and Poor’s or its equivalent by another independent ratings agency. Also known as "high yield" or junk bonds, below investment grade securities are typically subject to greater levels of interest rate risk, credit risk and liquidity risk than investment grade securities</w:t>
            </w:r>
            <w:r>
              <w:rPr>
                <w:rFonts w:cs="Arial"/>
                <w:szCs w:val="20"/>
                <w:shd w:val="clear" w:color="auto" w:fill="FFFFFF"/>
              </w:rPr>
              <w:t>.</w:t>
            </w:r>
          </w:p>
        </w:tc>
      </w:tr>
      <w:tr w:rsidR="00BD2AB4" w14:paraId="0E24B66B" w14:textId="77777777" w:rsidTr="00BD2AB4">
        <w:tc>
          <w:tcPr>
            <w:tcW w:w="1516" w:type="dxa"/>
          </w:tcPr>
          <w:p w14:paraId="7CF9A307" w14:textId="77777777" w:rsidR="00BD2AB4" w:rsidRDefault="00BD2AB4" w:rsidP="000528AD">
            <w:pPr>
              <w:spacing w:after="240"/>
              <w:rPr>
                <w:b/>
                <w:bCs/>
              </w:rPr>
            </w:pPr>
            <w:r w:rsidRPr="00E126ED">
              <w:rPr>
                <w:b/>
                <w:szCs w:val="20"/>
              </w:rPr>
              <w:t>Bond Connect</w:t>
            </w:r>
            <w:r w:rsidRPr="00E126ED">
              <w:rPr>
                <w:szCs w:val="20"/>
              </w:rPr>
              <w:t xml:space="preserve"> </w:t>
            </w:r>
            <w:r>
              <w:rPr>
                <w:szCs w:val="20"/>
              </w:rPr>
              <w:t xml:space="preserve"> </w:t>
            </w:r>
          </w:p>
        </w:tc>
        <w:tc>
          <w:tcPr>
            <w:tcW w:w="7500" w:type="dxa"/>
          </w:tcPr>
          <w:p w14:paraId="0FF03B6E" w14:textId="77777777" w:rsidR="00BD2AB4" w:rsidRDefault="00BD2AB4" w:rsidP="000528AD">
            <w:pPr>
              <w:spacing w:after="240"/>
              <w:rPr>
                <w:b/>
                <w:bCs/>
              </w:rPr>
            </w:pPr>
            <w:r>
              <w:rPr>
                <w:szCs w:val="20"/>
              </w:rPr>
              <w:t>A</w:t>
            </w:r>
            <w:r w:rsidRPr="00E126ED">
              <w:rPr>
                <w:szCs w:val="20"/>
              </w:rPr>
              <w:t xml:space="preserve">n initiative launched in July 2017 for mutual bond market access between the PRC and Hong Kong, established by the </w:t>
            </w:r>
            <w:r w:rsidRPr="00E126ED">
              <w:rPr>
                <w:rFonts w:cs="Arial"/>
                <w:szCs w:val="20"/>
              </w:rPr>
              <w:t>China Foreign Exchange Trade System &amp; National Interbank Funding Centre (</w:t>
            </w:r>
            <w:r>
              <w:rPr>
                <w:rFonts w:cs="Arial"/>
                <w:szCs w:val="20"/>
              </w:rPr>
              <w:t>"</w:t>
            </w:r>
            <w:r w:rsidRPr="00E126ED">
              <w:rPr>
                <w:b/>
                <w:szCs w:val="20"/>
              </w:rPr>
              <w:t>CFETS</w:t>
            </w:r>
            <w:r>
              <w:rPr>
                <w:szCs w:val="20"/>
              </w:rPr>
              <w:t>"</w:t>
            </w:r>
            <w:r w:rsidRPr="00E126ED">
              <w:rPr>
                <w:szCs w:val="20"/>
              </w:rPr>
              <w:t>), China Central Depository &amp; Clearing Co., Ltd (</w:t>
            </w:r>
            <w:r>
              <w:rPr>
                <w:szCs w:val="20"/>
              </w:rPr>
              <w:t>"</w:t>
            </w:r>
            <w:r w:rsidRPr="00E126ED">
              <w:rPr>
                <w:b/>
                <w:szCs w:val="20"/>
              </w:rPr>
              <w:t>CCDC</w:t>
            </w:r>
            <w:r>
              <w:rPr>
                <w:szCs w:val="20"/>
              </w:rPr>
              <w:t>"</w:t>
            </w:r>
            <w:r w:rsidRPr="00E126ED">
              <w:rPr>
                <w:szCs w:val="20"/>
              </w:rPr>
              <w:t xml:space="preserve">), Shanghai Clearing House, Hong Kong Exchanges and Clearing Limited and Central Money markets </w:t>
            </w:r>
            <w:r>
              <w:rPr>
                <w:szCs w:val="20"/>
              </w:rPr>
              <w:t>Share.</w:t>
            </w:r>
          </w:p>
        </w:tc>
      </w:tr>
      <w:tr w:rsidR="00BD2AB4" w14:paraId="2E6014AD" w14:textId="77777777" w:rsidTr="00BD2AB4">
        <w:tc>
          <w:tcPr>
            <w:tcW w:w="1516" w:type="dxa"/>
          </w:tcPr>
          <w:p w14:paraId="3176D6FA" w14:textId="77777777" w:rsidR="00BD2AB4" w:rsidRDefault="00BD2AB4" w:rsidP="000528AD">
            <w:pPr>
              <w:spacing w:after="240"/>
              <w:rPr>
                <w:b/>
                <w:bCs/>
              </w:rPr>
            </w:pPr>
            <w:r>
              <w:rPr>
                <w:b/>
              </w:rPr>
              <w:t>convertible securities</w:t>
            </w:r>
          </w:p>
        </w:tc>
        <w:tc>
          <w:tcPr>
            <w:tcW w:w="7500" w:type="dxa"/>
          </w:tcPr>
          <w:p w14:paraId="3721FFD3" w14:textId="77777777" w:rsidR="00BD2AB4" w:rsidRDefault="00BD2AB4" w:rsidP="000528AD">
            <w:pPr>
              <w:spacing w:after="240"/>
              <w:rPr>
                <w:b/>
                <w:bCs/>
              </w:rPr>
            </w:pPr>
            <w:r>
              <w:rPr>
                <w:bCs/>
              </w:rPr>
              <w:t xml:space="preserve">A </w:t>
            </w:r>
            <w:r w:rsidRPr="000A5B88">
              <w:rPr>
                <w:bCs/>
              </w:rPr>
              <w:t xml:space="preserve">security </w:t>
            </w:r>
            <w:r>
              <w:rPr>
                <w:bCs/>
              </w:rPr>
              <w:t>having</w:t>
            </w:r>
            <w:r w:rsidRPr="000A5B88">
              <w:rPr>
                <w:bCs/>
              </w:rPr>
              <w:t xml:space="preserve"> characteristics of both bonds and equities</w:t>
            </w:r>
            <w:r>
              <w:rPr>
                <w:bCs/>
              </w:rPr>
              <w:t>, t</w:t>
            </w:r>
            <w:r w:rsidRPr="000A5B88">
              <w:rPr>
                <w:bCs/>
              </w:rPr>
              <w:t>ypically a corporate bond which can be converted into equity</w:t>
            </w:r>
            <w:r>
              <w:rPr>
                <w:bCs/>
              </w:rPr>
              <w:t xml:space="preserve"> by the bond holder. </w:t>
            </w:r>
            <w:r w:rsidRPr="00014E31">
              <w:rPr>
                <w:bCs/>
              </w:rPr>
              <w:t>Such securities may embed derivative</w:t>
            </w:r>
            <w:r>
              <w:rPr>
                <w:bCs/>
              </w:rPr>
              <w:t>s</w:t>
            </w:r>
            <w:r w:rsidRPr="00014E31">
              <w:rPr>
                <w:bCs/>
              </w:rPr>
              <w:t xml:space="preserve"> and therefore may be leveraged</w:t>
            </w:r>
            <w:r>
              <w:rPr>
                <w:bCs/>
              </w:rPr>
              <w:t>.</w:t>
            </w:r>
          </w:p>
        </w:tc>
      </w:tr>
      <w:tr w:rsidR="00BD2AB4" w14:paraId="4B6DE410" w14:textId="77777777" w:rsidTr="00BD2AB4">
        <w:trPr>
          <w:trHeight w:val="663"/>
        </w:trPr>
        <w:tc>
          <w:tcPr>
            <w:tcW w:w="1516" w:type="dxa"/>
          </w:tcPr>
          <w:p w14:paraId="3705EE37" w14:textId="77777777" w:rsidR="00BD2AB4" w:rsidRDefault="00BD2AB4" w:rsidP="000528AD">
            <w:pPr>
              <w:spacing w:after="240"/>
              <w:rPr>
                <w:b/>
                <w:bCs/>
              </w:rPr>
            </w:pPr>
            <w:r>
              <w:rPr>
                <w:b/>
              </w:rPr>
              <w:t>contingent convertible securities or CoCos</w:t>
            </w:r>
          </w:p>
        </w:tc>
        <w:tc>
          <w:tcPr>
            <w:tcW w:w="7500" w:type="dxa"/>
          </w:tcPr>
          <w:p w14:paraId="799084C0" w14:textId="77777777" w:rsidR="00BD2AB4" w:rsidRDefault="00BD2AB4" w:rsidP="000528AD">
            <w:pPr>
              <w:spacing w:after="240"/>
              <w:rPr>
                <w:b/>
              </w:rPr>
            </w:pPr>
            <w:r w:rsidRPr="007E2BD8">
              <w:rPr>
                <w:bCs/>
              </w:rPr>
              <w:t xml:space="preserve">A </w:t>
            </w:r>
            <w:r w:rsidRPr="00BC45BD">
              <w:rPr>
                <w:rFonts w:cs="Arial"/>
                <w:szCs w:val="20"/>
              </w:rPr>
              <w:t>securit</w:t>
            </w:r>
            <w:r>
              <w:rPr>
                <w:rFonts w:cs="Arial"/>
                <w:szCs w:val="20"/>
              </w:rPr>
              <w:t>y that</w:t>
            </w:r>
            <w:r w:rsidRPr="00BC45BD">
              <w:rPr>
                <w:rFonts w:cs="Arial"/>
                <w:szCs w:val="20"/>
              </w:rPr>
              <w:t xml:space="preserve"> may be converted into equity or be forced to suffer a write down of principal upon the occurrence of a pre-determined </w:t>
            </w:r>
            <w:r>
              <w:rPr>
                <w:rFonts w:cs="Arial"/>
                <w:szCs w:val="20"/>
              </w:rPr>
              <w:t xml:space="preserve">trigger </w:t>
            </w:r>
            <w:r w:rsidRPr="00BC45BD">
              <w:rPr>
                <w:rFonts w:cs="Arial"/>
                <w:szCs w:val="20"/>
              </w:rPr>
              <w:t>event</w:t>
            </w:r>
            <w:r>
              <w:rPr>
                <w:rFonts w:cs="Arial"/>
                <w:szCs w:val="20"/>
              </w:rPr>
              <w:t>.</w:t>
            </w:r>
          </w:p>
          <w:p w14:paraId="3841B29C" w14:textId="77777777" w:rsidR="00BD2AB4" w:rsidRDefault="00BD2AB4" w:rsidP="000528AD">
            <w:pPr>
              <w:spacing w:after="240"/>
              <w:rPr>
                <w:b/>
                <w:bCs/>
              </w:rPr>
            </w:pPr>
          </w:p>
        </w:tc>
      </w:tr>
      <w:tr w:rsidR="00BD2AB4" w:rsidRPr="007E2BD8" w14:paraId="120828F2" w14:textId="77777777" w:rsidTr="00BD2AB4">
        <w:trPr>
          <w:trHeight w:val="663"/>
        </w:trPr>
        <w:tc>
          <w:tcPr>
            <w:tcW w:w="1516" w:type="dxa"/>
          </w:tcPr>
          <w:p w14:paraId="51D30809" w14:textId="77777777" w:rsidR="00BD2AB4" w:rsidRDefault="00BD2AB4" w:rsidP="000528AD">
            <w:pPr>
              <w:spacing w:after="240"/>
              <w:rPr>
                <w:b/>
              </w:rPr>
            </w:pPr>
            <w:r>
              <w:rPr>
                <w:b/>
              </w:rPr>
              <w:t xml:space="preserve">derivative  </w:t>
            </w:r>
          </w:p>
        </w:tc>
        <w:tc>
          <w:tcPr>
            <w:tcW w:w="7500" w:type="dxa"/>
          </w:tcPr>
          <w:p w14:paraId="27E83363" w14:textId="77777777" w:rsidR="00BD2AB4" w:rsidRPr="007E2BD8" w:rsidRDefault="00BD2AB4" w:rsidP="000528AD">
            <w:pPr>
              <w:spacing w:after="240"/>
              <w:rPr>
                <w:bCs/>
              </w:rPr>
            </w:pPr>
            <w:r>
              <w:rPr>
                <w:bCs/>
              </w:rPr>
              <w:t xml:space="preserve">A </w:t>
            </w:r>
            <w:r w:rsidRPr="007E2BD8">
              <w:rPr>
                <w:bCs/>
              </w:rPr>
              <w:t>financial</w:t>
            </w:r>
            <w:r>
              <w:rPr>
                <w:b/>
              </w:rPr>
              <w:t xml:space="preserve"> </w:t>
            </w:r>
            <w:r w:rsidRPr="00BC45BD">
              <w:rPr>
                <w:rFonts w:cs="Arial"/>
                <w:szCs w:val="20"/>
              </w:rPr>
              <w:t>instrument that derive</w:t>
            </w:r>
            <w:r>
              <w:rPr>
                <w:rFonts w:cs="Arial"/>
                <w:szCs w:val="20"/>
              </w:rPr>
              <w:t>s</w:t>
            </w:r>
            <w:r w:rsidRPr="00BC45BD">
              <w:rPr>
                <w:rFonts w:cs="Arial"/>
                <w:szCs w:val="20"/>
              </w:rPr>
              <w:t xml:space="preserve"> </w:t>
            </w:r>
            <w:r>
              <w:rPr>
                <w:rFonts w:cs="Arial"/>
                <w:szCs w:val="20"/>
              </w:rPr>
              <w:t>its</w:t>
            </w:r>
            <w:r w:rsidRPr="00BC45BD">
              <w:rPr>
                <w:rFonts w:cs="Arial"/>
                <w:szCs w:val="20"/>
              </w:rPr>
              <w:t xml:space="preserve"> value from another instrument, security, index, interest rate, money market instrument or currency</w:t>
            </w:r>
            <w:r>
              <w:rPr>
                <w:rFonts w:cs="Arial"/>
                <w:szCs w:val="20"/>
              </w:rPr>
              <w:t>. Derivatives may be traded on exchange or over the counter (OTC).</w:t>
            </w:r>
          </w:p>
        </w:tc>
      </w:tr>
      <w:tr w:rsidR="00BD2AB4" w14:paraId="0CCB481E" w14:textId="77777777" w:rsidTr="00BD2AB4">
        <w:tc>
          <w:tcPr>
            <w:tcW w:w="1516" w:type="dxa"/>
          </w:tcPr>
          <w:p w14:paraId="5E17866E" w14:textId="77777777" w:rsidR="00BD2AB4" w:rsidRDefault="00BD2AB4" w:rsidP="000528AD">
            <w:pPr>
              <w:spacing w:after="240"/>
              <w:rPr>
                <w:b/>
              </w:rPr>
            </w:pPr>
            <w:r w:rsidRPr="00DE096E">
              <w:rPr>
                <w:rFonts w:cs="Arial"/>
                <w:b/>
                <w:szCs w:val="20"/>
              </w:rPr>
              <w:t>Developed Market</w:t>
            </w:r>
            <w:r>
              <w:rPr>
                <w:rFonts w:cs="Arial"/>
                <w:b/>
                <w:szCs w:val="20"/>
              </w:rPr>
              <w:t>s</w:t>
            </w:r>
          </w:p>
        </w:tc>
        <w:tc>
          <w:tcPr>
            <w:tcW w:w="7500" w:type="dxa"/>
          </w:tcPr>
          <w:p w14:paraId="478D24D8" w14:textId="77777777" w:rsidR="00BD2AB4" w:rsidRDefault="00BD2AB4" w:rsidP="000528AD">
            <w:pPr>
              <w:spacing w:after="240"/>
              <w:rPr>
                <w:bCs/>
              </w:rPr>
            </w:pPr>
            <w:r>
              <w:rPr>
                <w:rFonts w:cs="Arial"/>
                <w:szCs w:val="20"/>
              </w:rPr>
              <w:t>The</w:t>
            </w:r>
            <w:r w:rsidRPr="00F0516F">
              <w:rPr>
                <w:rFonts w:cs="Arial"/>
                <w:szCs w:val="20"/>
              </w:rPr>
              <w:t xml:space="preserve"> countries set out </w:t>
            </w:r>
            <w:r w:rsidRPr="00035CF2">
              <w:rPr>
                <w:rFonts w:cs="Arial"/>
                <w:szCs w:val="20"/>
              </w:rPr>
              <w:t>in the Morgan Stanley Capital International or other reputable global index provider</w:t>
            </w:r>
            <w:r>
              <w:rPr>
                <w:rFonts w:cs="Arial"/>
                <w:szCs w:val="20"/>
              </w:rPr>
              <w:t>s’</w:t>
            </w:r>
            <w:r w:rsidRPr="00035CF2">
              <w:rPr>
                <w:rFonts w:cs="Arial"/>
                <w:szCs w:val="20"/>
              </w:rPr>
              <w:t xml:space="preserve"> indices designed to measure global developed market</w:t>
            </w:r>
            <w:r>
              <w:rPr>
                <w:rFonts w:cs="Arial"/>
                <w:szCs w:val="20"/>
              </w:rPr>
              <w:t>s</w:t>
            </w:r>
            <w:r w:rsidRPr="00035CF2">
              <w:rPr>
                <w:rFonts w:cs="Arial"/>
                <w:szCs w:val="20"/>
              </w:rPr>
              <w:t xml:space="preserve"> and/or such other markets as the Directors may from time to time determine</w:t>
            </w:r>
            <w:r>
              <w:rPr>
                <w:rFonts w:cs="Arial"/>
                <w:szCs w:val="20"/>
              </w:rPr>
              <w:t>.</w:t>
            </w:r>
          </w:p>
        </w:tc>
      </w:tr>
      <w:tr w:rsidR="00BD2AB4" w14:paraId="4A2EE5DD" w14:textId="77777777" w:rsidTr="00BD2AB4">
        <w:tc>
          <w:tcPr>
            <w:tcW w:w="1516" w:type="dxa"/>
          </w:tcPr>
          <w:p w14:paraId="6D9A4B9C" w14:textId="77777777" w:rsidR="00BD2AB4" w:rsidRPr="00DE096E" w:rsidRDefault="00BD2AB4" w:rsidP="000528AD">
            <w:pPr>
              <w:spacing w:after="240"/>
              <w:rPr>
                <w:rFonts w:cs="Arial"/>
                <w:b/>
                <w:szCs w:val="20"/>
              </w:rPr>
            </w:pPr>
            <w:r>
              <w:rPr>
                <w:rFonts w:cs="Arial"/>
                <w:b/>
                <w:szCs w:val="20"/>
              </w:rPr>
              <w:t xml:space="preserve">duration </w:t>
            </w:r>
          </w:p>
        </w:tc>
        <w:tc>
          <w:tcPr>
            <w:tcW w:w="7500" w:type="dxa"/>
          </w:tcPr>
          <w:p w14:paraId="5353A006" w14:textId="77777777" w:rsidR="00BD2AB4" w:rsidRDefault="00BD2AB4" w:rsidP="000528AD">
            <w:pPr>
              <w:spacing w:after="240"/>
              <w:rPr>
                <w:rFonts w:cs="Arial"/>
                <w:szCs w:val="20"/>
              </w:rPr>
            </w:pPr>
            <w:r w:rsidRPr="0008769F">
              <w:rPr>
                <w:rFonts w:cs="Arial"/>
                <w:szCs w:val="20"/>
              </w:rPr>
              <w:t xml:space="preserve">Duration is a measure of the </w:t>
            </w:r>
            <w:r w:rsidRPr="006148D7">
              <w:rPr>
                <w:rFonts w:cs="Arial"/>
                <w:szCs w:val="20"/>
              </w:rPr>
              <w:t>weighted average time for an investor to</w:t>
            </w:r>
            <w:r>
              <w:rPr>
                <w:rFonts w:cs="Arial"/>
                <w:szCs w:val="20"/>
              </w:rPr>
              <w:t xml:space="preserve"> </w:t>
            </w:r>
            <w:r w:rsidRPr="006148D7">
              <w:rPr>
                <w:rFonts w:cs="Arial"/>
                <w:szCs w:val="20"/>
              </w:rPr>
              <w:t>receive the present value</w:t>
            </w:r>
            <w:r>
              <w:rPr>
                <w:rFonts w:cs="Arial"/>
                <w:szCs w:val="20"/>
              </w:rPr>
              <w:t xml:space="preserve"> </w:t>
            </w:r>
            <w:r w:rsidRPr="0008769F">
              <w:rPr>
                <w:rFonts w:cs="Arial"/>
                <w:szCs w:val="20"/>
              </w:rPr>
              <w:t xml:space="preserve">of a </w:t>
            </w:r>
            <w:r>
              <w:rPr>
                <w:rFonts w:cs="Arial"/>
                <w:szCs w:val="20"/>
              </w:rPr>
              <w:t>debt</w:t>
            </w:r>
            <w:r w:rsidRPr="0008769F">
              <w:rPr>
                <w:rFonts w:cs="Arial"/>
                <w:szCs w:val="20"/>
              </w:rPr>
              <w:t xml:space="preserve"> </w:t>
            </w:r>
            <w:r w:rsidRPr="006148D7">
              <w:rPr>
                <w:rFonts w:cs="Arial"/>
                <w:szCs w:val="20"/>
              </w:rPr>
              <w:t>security’s cash flows</w:t>
            </w:r>
            <w:r>
              <w:rPr>
                <w:rFonts w:cs="Arial"/>
                <w:szCs w:val="20"/>
              </w:rPr>
              <w:t>. It</w:t>
            </w:r>
            <w:r w:rsidRPr="0008769F">
              <w:rPr>
                <w:rFonts w:cs="Arial"/>
                <w:szCs w:val="20"/>
              </w:rPr>
              <w:t xml:space="preserve"> is used to determine the sensitivity of </w:t>
            </w:r>
            <w:r>
              <w:rPr>
                <w:rFonts w:cs="Arial"/>
                <w:szCs w:val="20"/>
              </w:rPr>
              <w:t>that</w:t>
            </w:r>
            <w:r w:rsidRPr="0008769F">
              <w:rPr>
                <w:rFonts w:cs="Arial"/>
                <w:szCs w:val="20"/>
              </w:rPr>
              <w:t xml:space="preserve"> security’s price to changes in interest rates that incorporates a security’s yield, coupon, final maturity and call features, among other characteristics. The longer a security’s duration, the more sensitive it will be to changes in interest rates. Similarly, a </w:t>
            </w:r>
            <w:r>
              <w:rPr>
                <w:rFonts w:cs="Arial"/>
                <w:szCs w:val="20"/>
              </w:rPr>
              <w:t>Sub-</w:t>
            </w:r>
            <w:r w:rsidRPr="0008769F">
              <w:rPr>
                <w:rFonts w:cs="Arial"/>
                <w:szCs w:val="20"/>
              </w:rPr>
              <w:t xml:space="preserve">Fund with a longer average portfolio duration will be more sensitive to changes in interest rates than a </w:t>
            </w:r>
            <w:r>
              <w:rPr>
                <w:rFonts w:cs="Arial"/>
                <w:szCs w:val="20"/>
              </w:rPr>
              <w:t>Sub-</w:t>
            </w:r>
            <w:r w:rsidRPr="0008769F">
              <w:rPr>
                <w:rFonts w:cs="Arial"/>
                <w:szCs w:val="20"/>
              </w:rPr>
              <w:t>Fund with a shorter average portfolio duration</w:t>
            </w:r>
            <w:r>
              <w:rPr>
                <w:rFonts w:cs="Arial"/>
                <w:szCs w:val="20"/>
              </w:rPr>
              <w:t>.</w:t>
            </w:r>
          </w:p>
        </w:tc>
      </w:tr>
      <w:tr w:rsidR="00BD2AB4" w14:paraId="497AF383" w14:textId="77777777" w:rsidTr="00BD2AB4">
        <w:tc>
          <w:tcPr>
            <w:tcW w:w="1516" w:type="dxa"/>
          </w:tcPr>
          <w:p w14:paraId="04352768" w14:textId="77777777" w:rsidR="00BD2AB4" w:rsidRDefault="00BD2AB4" w:rsidP="000528AD">
            <w:pPr>
              <w:spacing w:after="240"/>
              <w:rPr>
                <w:b/>
              </w:rPr>
            </w:pPr>
            <w:r w:rsidRPr="009E0F21">
              <w:rPr>
                <w:b/>
              </w:rPr>
              <w:t>efficient portfolio management (</w:t>
            </w:r>
            <w:r>
              <w:rPr>
                <w:b/>
              </w:rPr>
              <w:t>"</w:t>
            </w:r>
            <w:r w:rsidRPr="009E0F21">
              <w:rPr>
                <w:b/>
              </w:rPr>
              <w:t>EPM</w:t>
            </w:r>
            <w:r>
              <w:rPr>
                <w:b/>
              </w:rPr>
              <w:t>"</w:t>
            </w:r>
            <w:r w:rsidRPr="009E0F21">
              <w:rPr>
                <w:b/>
              </w:rPr>
              <w:t>)</w:t>
            </w:r>
          </w:p>
        </w:tc>
        <w:tc>
          <w:tcPr>
            <w:tcW w:w="7500" w:type="dxa"/>
          </w:tcPr>
          <w:p w14:paraId="06356546" w14:textId="77777777" w:rsidR="00BD2AB4" w:rsidRDefault="00BD2AB4" w:rsidP="000528AD">
            <w:pPr>
              <w:spacing w:after="240"/>
              <w:rPr>
                <w:bCs/>
              </w:rPr>
            </w:pPr>
            <w:r w:rsidRPr="009E0F21">
              <w:rPr>
                <w:bCs/>
              </w:rPr>
              <w:t>An investment technique aimed at either reducing risk, reducing cost or generating additional capital or income with a level of risk consistent with the risk profile of the relevant Sub-Fund</w:t>
            </w:r>
            <w:r>
              <w:rPr>
                <w:bCs/>
              </w:rPr>
              <w:t>.</w:t>
            </w:r>
          </w:p>
        </w:tc>
      </w:tr>
      <w:tr w:rsidR="00BD2AB4" w:rsidRPr="005B648B" w14:paraId="5F5684C8" w14:textId="77777777" w:rsidTr="00BD2AB4">
        <w:tc>
          <w:tcPr>
            <w:tcW w:w="1516" w:type="dxa"/>
          </w:tcPr>
          <w:p w14:paraId="0CDCD491" w14:textId="77777777" w:rsidR="00BD2AB4" w:rsidRDefault="00BD2AB4" w:rsidP="000528AD">
            <w:pPr>
              <w:spacing w:after="240"/>
              <w:rPr>
                <w:b/>
                <w:bCs/>
              </w:rPr>
            </w:pPr>
            <w:r>
              <w:rPr>
                <w:rFonts w:cs="Arial"/>
                <w:b/>
                <w:bCs/>
                <w:szCs w:val="20"/>
              </w:rPr>
              <w:t>E</w:t>
            </w:r>
            <w:r w:rsidRPr="00F67920">
              <w:rPr>
                <w:rFonts w:cs="Arial"/>
                <w:b/>
                <w:bCs/>
                <w:szCs w:val="20"/>
              </w:rPr>
              <w:t xml:space="preserve">merging </w:t>
            </w:r>
            <w:r>
              <w:rPr>
                <w:rFonts w:cs="Arial"/>
                <w:b/>
                <w:bCs/>
                <w:szCs w:val="20"/>
              </w:rPr>
              <w:t>M</w:t>
            </w:r>
            <w:r w:rsidRPr="00F67920">
              <w:rPr>
                <w:rFonts w:cs="Arial"/>
                <w:b/>
                <w:bCs/>
                <w:szCs w:val="20"/>
              </w:rPr>
              <w:t>arkets</w:t>
            </w:r>
          </w:p>
        </w:tc>
        <w:tc>
          <w:tcPr>
            <w:tcW w:w="7500" w:type="dxa"/>
          </w:tcPr>
          <w:p w14:paraId="0ED36857" w14:textId="77777777" w:rsidR="00BD2AB4" w:rsidRPr="005B648B" w:rsidRDefault="00BD2AB4" w:rsidP="000528AD">
            <w:pPr>
              <w:spacing w:after="240"/>
              <w:rPr>
                <w:bCs/>
              </w:rPr>
            </w:pPr>
            <w:bookmarkStart w:id="0" w:name="_Hlk177401599"/>
            <w:r>
              <w:rPr>
                <w:bCs/>
              </w:rPr>
              <w:t xml:space="preserve">The </w:t>
            </w:r>
            <w:r w:rsidRPr="00F67920">
              <w:rPr>
                <w:bCs/>
              </w:rPr>
              <w:t>countries set out in the Morgan Stanley Capital International or other reputable global index provider</w:t>
            </w:r>
            <w:r>
              <w:rPr>
                <w:bCs/>
              </w:rPr>
              <w:t>s’</w:t>
            </w:r>
            <w:r w:rsidRPr="00F67920">
              <w:rPr>
                <w:bCs/>
              </w:rPr>
              <w:t xml:space="preserve"> </w:t>
            </w:r>
            <w:r>
              <w:rPr>
                <w:bCs/>
              </w:rPr>
              <w:t>"</w:t>
            </w:r>
            <w:r w:rsidRPr="00F67920">
              <w:rPr>
                <w:bCs/>
              </w:rPr>
              <w:t>Emerging Markets</w:t>
            </w:r>
            <w:r>
              <w:rPr>
                <w:bCs/>
              </w:rPr>
              <w:t>"</w:t>
            </w:r>
            <w:r w:rsidRPr="00F67920">
              <w:rPr>
                <w:bCs/>
              </w:rPr>
              <w:t xml:space="preserve"> indices and/or such other markets as the Directors may from time to time determine</w:t>
            </w:r>
            <w:bookmarkEnd w:id="0"/>
            <w:r>
              <w:rPr>
                <w:bCs/>
              </w:rPr>
              <w:t>.</w:t>
            </w:r>
          </w:p>
        </w:tc>
      </w:tr>
      <w:tr w:rsidR="00BD2AB4" w14:paraId="69F3FC32" w14:textId="77777777" w:rsidTr="00BD2AB4">
        <w:tc>
          <w:tcPr>
            <w:tcW w:w="1516" w:type="dxa"/>
          </w:tcPr>
          <w:p w14:paraId="1530C8D2" w14:textId="77777777" w:rsidR="00BD2AB4" w:rsidRDefault="00BD2AB4" w:rsidP="000528AD">
            <w:pPr>
              <w:spacing w:after="240"/>
              <w:rPr>
                <w:rFonts w:cs="Arial"/>
                <w:b/>
                <w:bCs/>
                <w:szCs w:val="20"/>
              </w:rPr>
            </w:pPr>
            <w:r>
              <w:rPr>
                <w:rFonts w:cs="Arial"/>
                <w:b/>
                <w:szCs w:val="20"/>
              </w:rPr>
              <w:t>equity-linked notes</w:t>
            </w:r>
          </w:p>
        </w:tc>
        <w:tc>
          <w:tcPr>
            <w:tcW w:w="7500" w:type="dxa"/>
          </w:tcPr>
          <w:p w14:paraId="0B94E3CE" w14:textId="77777777" w:rsidR="00BD2AB4" w:rsidRDefault="00BD2AB4" w:rsidP="000528AD">
            <w:pPr>
              <w:spacing w:after="240"/>
              <w:rPr>
                <w:bCs/>
              </w:rPr>
            </w:pPr>
            <w:r>
              <w:rPr>
                <w:rFonts w:cs="Arial"/>
                <w:bCs/>
                <w:szCs w:val="20"/>
              </w:rPr>
              <w:t>E</w:t>
            </w:r>
            <w:r w:rsidRPr="006A48D6">
              <w:rPr>
                <w:rFonts w:cs="Arial"/>
                <w:bCs/>
                <w:szCs w:val="20"/>
              </w:rPr>
              <w:t>quity-linked notes</w:t>
            </w:r>
            <w:r>
              <w:rPr>
                <w:rFonts w:cs="Arial"/>
                <w:bCs/>
                <w:szCs w:val="20"/>
              </w:rPr>
              <w:t xml:space="preserve"> are n</w:t>
            </w:r>
            <w:r>
              <w:rPr>
                <w:rFonts w:cs="Arial"/>
                <w:szCs w:val="20"/>
              </w:rPr>
              <w:t xml:space="preserve">otes typically issued </w:t>
            </w:r>
            <w:r w:rsidRPr="00001CF1">
              <w:rPr>
                <w:rFonts w:cs="Arial"/>
                <w:szCs w:val="20"/>
              </w:rPr>
              <w:t>by a company or financial institution whose performance is tied to a single stock, a basket of stocks, or a stock index</w:t>
            </w:r>
            <w:r>
              <w:rPr>
                <w:rFonts w:cs="Arial"/>
                <w:szCs w:val="20"/>
              </w:rPr>
              <w:t>.</w:t>
            </w:r>
          </w:p>
        </w:tc>
      </w:tr>
      <w:tr w:rsidR="00BD2AB4" w14:paraId="1A5BDF70" w14:textId="77777777" w:rsidTr="00BD2AB4">
        <w:tc>
          <w:tcPr>
            <w:tcW w:w="1516" w:type="dxa"/>
          </w:tcPr>
          <w:p w14:paraId="501F0A5E" w14:textId="77777777" w:rsidR="00BD2AB4" w:rsidRDefault="00BD2AB4" w:rsidP="000528AD">
            <w:pPr>
              <w:spacing w:after="240"/>
              <w:rPr>
                <w:b/>
                <w:bCs/>
              </w:rPr>
            </w:pPr>
            <w:r>
              <w:rPr>
                <w:b/>
              </w:rPr>
              <w:lastRenderedPageBreak/>
              <w:t>e</w:t>
            </w:r>
            <w:r w:rsidRPr="00BC45BD">
              <w:rPr>
                <w:b/>
              </w:rPr>
              <w:t xml:space="preserve">xchange </w:t>
            </w:r>
            <w:r>
              <w:rPr>
                <w:b/>
              </w:rPr>
              <w:t>t</w:t>
            </w:r>
            <w:r w:rsidRPr="00BC45BD">
              <w:rPr>
                <w:b/>
              </w:rPr>
              <w:t xml:space="preserve">raded </w:t>
            </w:r>
            <w:r>
              <w:rPr>
                <w:b/>
              </w:rPr>
              <w:t>f</w:t>
            </w:r>
            <w:r w:rsidRPr="00BC45BD">
              <w:rPr>
                <w:b/>
              </w:rPr>
              <w:t>unds (ETF)</w:t>
            </w:r>
          </w:p>
        </w:tc>
        <w:tc>
          <w:tcPr>
            <w:tcW w:w="7500" w:type="dxa"/>
          </w:tcPr>
          <w:p w14:paraId="51DD89D2" w14:textId="77777777" w:rsidR="00BD2AB4" w:rsidRDefault="00BD2AB4" w:rsidP="000528AD">
            <w:pPr>
              <w:spacing w:after="240"/>
            </w:pPr>
            <w:r>
              <w:t>An investment fund that trades its shares on one or more stock exchanges.</w:t>
            </w:r>
          </w:p>
          <w:p w14:paraId="3AFD16AE" w14:textId="77777777" w:rsidR="00BD2AB4" w:rsidRDefault="00BD2AB4" w:rsidP="000528AD">
            <w:pPr>
              <w:spacing w:after="240"/>
              <w:rPr>
                <w:b/>
                <w:bCs/>
              </w:rPr>
            </w:pPr>
          </w:p>
        </w:tc>
      </w:tr>
      <w:tr w:rsidR="00BD2AB4" w14:paraId="021D6B6E" w14:textId="77777777" w:rsidTr="00BD2AB4">
        <w:tc>
          <w:tcPr>
            <w:tcW w:w="1516" w:type="dxa"/>
          </w:tcPr>
          <w:p w14:paraId="51979770" w14:textId="77777777" w:rsidR="00BD2AB4" w:rsidRPr="009E0F21" w:rsidRDefault="00BD2AB4" w:rsidP="000528AD">
            <w:pPr>
              <w:spacing w:after="240"/>
              <w:rPr>
                <w:b/>
                <w:bCs/>
              </w:rPr>
            </w:pPr>
            <w:r w:rsidRPr="009E0F21">
              <w:rPr>
                <w:b/>
                <w:bCs/>
              </w:rPr>
              <w:t>ESG</w:t>
            </w:r>
          </w:p>
        </w:tc>
        <w:tc>
          <w:tcPr>
            <w:tcW w:w="7500" w:type="dxa"/>
          </w:tcPr>
          <w:p w14:paraId="3F999607" w14:textId="77777777" w:rsidR="00BD2AB4" w:rsidRDefault="00BD2AB4" w:rsidP="000528AD">
            <w:pPr>
              <w:spacing w:after="240"/>
            </w:pPr>
            <w:r>
              <w:t>E</w:t>
            </w:r>
            <w:r w:rsidRPr="00275DB5">
              <w:t>nvironmental, social and governance matters</w:t>
            </w:r>
            <w:r>
              <w:t>.</w:t>
            </w:r>
          </w:p>
        </w:tc>
      </w:tr>
      <w:tr w:rsidR="00BD2AB4" w:rsidRPr="000530F5" w14:paraId="61F84B93" w14:textId="77777777" w:rsidTr="00BD2AB4">
        <w:trPr>
          <w:trHeight w:val="919"/>
        </w:trPr>
        <w:tc>
          <w:tcPr>
            <w:tcW w:w="1516" w:type="dxa"/>
          </w:tcPr>
          <w:p w14:paraId="3DAF091E" w14:textId="50E82599" w:rsidR="00BD2AB4" w:rsidRDefault="00BD2AB4" w:rsidP="000528AD">
            <w:pPr>
              <w:spacing w:after="240"/>
              <w:rPr>
                <w:b/>
                <w:bCs/>
              </w:rPr>
            </w:pPr>
            <w:r>
              <w:rPr>
                <w:rFonts w:cs="Arial"/>
                <w:b/>
                <w:szCs w:val="20"/>
              </w:rPr>
              <w:t>Frontier Markets</w:t>
            </w:r>
          </w:p>
        </w:tc>
        <w:tc>
          <w:tcPr>
            <w:tcW w:w="7500" w:type="dxa"/>
          </w:tcPr>
          <w:p w14:paraId="7EFD998A" w14:textId="77777777" w:rsidR="00BD2AB4" w:rsidRPr="000530F5" w:rsidRDefault="00BD2AB4" w:rsidP="000528AD">
            <w:pPr>
              <w:spacing w:after="240"/>
            </w:pPr>
            <w:r>
              <w:rPr>
                <w:rFonts w:cs="Arial"/>
                <w:szCs w:val="20"/>
              </w:rPr>
              <w:t>The</w:t>
            </w:r>
            <w:r w:rsidRPr="00BC04CF">
              <w:rPr>
                <w:rFonts w:cs="Arial"/>
                <w:szCs w:val="20"/>
              </w:rPr>
              <w:t xml:space="preserve"> countries classified as frontier markets as set out in the Morgan Stanley Capital International or other reputable global index providers</w:t>
            </w:r>
            <w:r>
              <w:rPr>
                <w:rFonts w:cs="Arial"/>
                <w:szCs w:val="20"/>
              </w:rPr>
              <w:t>' "Frontier Markets"</w:t>
            </w:r>
            <w:r w:rsidRPr="00BC04CF">
              <w:rPr>
                <w:rFonts w:cs="Arial"/>
                <w:szCs w:val="20"/>
              </w:rPr>
              <w:t> </w:t>
            </w:r>
            <w:r>
              <w:rPr>
                <w:rFonts w:cs="Arial"/>
                <w:szCs w:val="20"/>
              </w:rPr>
              <w:t>indices and/</w:t>
            </w:r>
            <w:r w:rsidRPr="00BC04CF">
              <w:rPr>
                <w:rFonts w:cs="Arial"/>
                <w:szCs w:val="20"/>
              </w:rPr>
              <w:t xml:space="preserve">or any </w:t>
            </w:r>
            <w:r>
              <w:rPr>
                <w:rFonts w:cs="Arial"/>
                <w:szCs w:val="20"/>
              </w:rPr>
              <w:t xml:space="preserve">other </w:t>
            </w:r>
            <w:r w:rsidRPr="00BC04CF">
              <w:rPr>
                <w:rFonts w:cs="Arial"/>
                <w:szCs w:val="20"/>
              </w:rPr>
              <w:t>country which is an Emerging Market but which, in the opinion of the Investment Manager, demonstrates economic characteristics of countries classified as frontier markets by one or more index providers; and/or such other markets as the Directors may from time to time determine</w:t>
            </w:r>
            <w:r>
              <w:rPr>
                <w:rFonts w:cs="Arial"/>
                <w:szCs w:val="20"/>
              </w:rPr>
              <w:t>.</w:t>
            </w:r>
          </w:p>
        </w:tc>
      </w:tr>
      <w:tr w:rsidR="00BD2AB4" w14:paraId="15949C7A" w14:textId="77777777" w:rsidTr="00BD2AB4">
        <w:trPr>
          <w:trHeight w:val="919"/>
        </w:trPr>
        <w:tc>
          <w:tcPr>
            <w:tcW w:w="1516" w:type="dxa"/>
          </w:tcPr>
          <w:p w14:paraId="0D783DC4" w14:textId="77777777" w:rsidR="00BD2AB4" w:rsidRDefault="00BD2AB4" w:rsidP="000528AD">
            <w:pPr>
              <w:spacing w:after="240"/>
              <w:rPr>
                <w:b/>
                <w:bCs/>
              </w:rPr>
            </w:pPr>
            <w:r>
              <w:rPr>
                <w:b/>
                <w:bCs/>
              </w:rPr>
              <w:t>future/futures contract</w:t>
            </w:r>
          </w:p>
        </w:tc>
        <w:tc>
          <w:tcPr>
            <w:tcW w:w="7500" w:type="dxa"/>
          </w:tcPr>
          <w:p w14:paraId="58E6493D" w14:textId="77777777" w:rsidR="00BD2AB4" w:rsidRDefault="00BD2AB4" w:rsidP="000528AD">
            <w:pPr>
              <w:spacing w:after="240"/>
              <w:rPr>
                <w:b/>
                <w:bCs/>
              </w:rPr>
            </w:pPr>
            <w:r w:rsidRPr="000530F5">
              <w:t>An exchange-traded derivative</w:t>
            </w:r>
            <w:r>
              <w:rPr>
                <w:b/>
                <w:bCs/>
              </w:rPr>
              <w:t xml:space="preserve"> </w:t>
            </w:r>
            <w:r>
              <w:rPr>
                <w:rFonts w:cs="Arial"/>
                <w:szCs w:val="20"/>
              </w:rPr>
              <w:t>which creates the</w:t>
            </w:r>
            <w:r w:rsidRPr="00367F4D">
              <w:rPr>
                <w:rFonts w:cs="Arial"/>
                <w:szCs w:val="20"/>
              </w:rPr>
              <w:t xml:space="preserve"> obligation to buy or sell an</w:t>
            </w:r>
            <w:r>
              <w:rPr>
                <w:rFonts w:cs="Arial"/>
                <w:szCs w:val="20"/>
              </w:rPr>
              <w:t xml:space="preserve"> underlying</w:t>
            </w:r>
            <w:r w:rsidRPr="00367F4D">
              <w:rPr>
                <w:rFonts w:cs="Arial"/>
                <w:szCs w:val="20"/>
              </w:rPr>
              <w:t xml:space="preserve"> asset at a pre-agreed price on a specific date</w:t>
            </w:r>
            <w:r>
              <w:rPr>
                <w:rFonts w:cs="Arial"/>
                <w:szCs w:val="20"/>
              </w:rPr>
              <w:t xml:space="preserve"> and may include </w:t>
            </w:r>
            <w:r w:rsidRPr="00367F4D">
              <w:rPr>
                <w:rFonts w:cs="Arial"/>
                <w:kern w:val="2"/>
                <w:szCs w:val="20"/>
              </w:rPr>
              <w:t xml:space="preserve">bond, equity, interest rate, currency and index </w:t>
            </w:r>
            <w:r>
              <w:rPr>
                <w:rFonts w:cs="Arial"/>
                <w:kern w:val="2"/>
                <w:szCs w:val="20"/>
              </w:rPr>
              <w:t>futures.</w:t>
            </w:r>
          </w:p>
        </w:tc>
      </w:tr>
      <w:tr w:rsidR="00BD2AB4" w:rsidRPr="004F145D" w14:paraId="22C64F8B" w14:textId="77777777" w:rsidTr="00BD2AB4">
        <w:trPr>
          <w:trHeight w:val="919"/>
        </w:trPr>
        <w:tc>
          <w:tcPr>
            <w:tcW w:w="1516" w:type="dxa"/>
          </w:tcPr>
          <w:p w14:paraId="0143BCB5" w14:textId="77777777" w:rsidR="00BD2AB4" w:rsidRPr="00916486" w:rsidRDefault="00BD2AB4" w:rsidP="000528AD">
            <w:pPr>
              <w:spacing w:after="240"/>
              <w:rPr>
                <w:b/>
                <w:bCs/>
                <w:highlight w:val="yellow"/>
              </w:rPr>
            </w:pPr>
            <w:r w:rsidRPr="004F145D">
              <w:rPr>
                <w:b/>
                <w:bCs/>
              </w:rPr>
              <w:t>government and government related issuers</w:t>
            </w:r>
          </w:p>
        </w:tc>
        <w:tc>
          <w:tcPr>
            <w:tcW w:w="7500" w:type="dxa"/>
          </w:tcPr>
          <w:p w14:paraId="1EAB0AB4" w14:textId="77777777" w:rsidR="00BD2AB4" w:rsidRPr="004F145D" w:rsidRDefault="00BD2AB4" w:rsidP="000528AD">
            <w:pPr>
              <w:spacing w:after="240"/>
            </w:pPr>
            <w:r w:rsidRPr="004F145D">
              <w:t>Governments, their agencies,</w:t>
            </w:r>
            <w:r>
              <w:t xml:space="preserve"> sub-divisions,</w:t>
            </w:r>
            <w:r w:rsidRPr="004F145D">
              <w:t xml:space="preserve"> local authorities (including US municipalities), quasi-government entities and supra-national</w:t>
            </w:r>
            <w:r>
              <w:t xml:space="preserve"> or public international</w:t>
            </w:r>
            <w:r w:rsidRPr="004F145D">
              <w:t xml:space="preserve"> organisations</w:t>
            </w:r>
            <w:r>
              <w:t>.</w:t>
            </w:r>
            <w:r w:rsidRPr="004F145D">
              <w:t xml:space="preserve"> </w:t>
            </w:r>
          </w:p>
        </w:tc>
      </w:tr>
      <w:tr w:rsidR="00BD2AB4" w14:paraId="178B85FB" w14:textId="77777777" w:rsidTr="00BD2AB4">
        <w:trPr>
          <w:trHeight w:val="919"/>
        </w:trPr>
        <w:tc>
          <w:tcPr>
            <w:tcW w:w="1516" w:type="dxa"/>
          </w:tcPr>
          <w:p w14:paraId="2CE656A9" w14:textId="77777777" w:rsidR="00BD2AB4" w:rsidRPr="009E0F21" w:rsidRDefault="00BD2AB4" w:rsidP="000528AD">
            <w:pPr>
              <w:spacing w:after="240"/>
              <w:rPr>
                <w:b/>
                <w:bCs/>
              </w:rPr>
            </w:pPr>
            <w:r w:rsidRPr="009E0F21">
              <w:rPr>
                <w:b/>
                <w:bCs/>
              </w:rPr>
              <w:t>hybrid security</w:t>
            </w:r>
          </w:p>
        </w:tc>
        <w:tc>
          <w:tcPr>
            <w:tcW w:w="7500" w:type="dxa"/>
          </w:tcPr>
          <w:p w14:paraId="1B975458" w14:textId="77777777" w:rsidR="00BD2AB4" w:rsidRDefault="00BD2AB4" w:rsidP="000528AD">
            <w:pPr>
              <w:spacing w:after="240"/>
            </w:pPr>
            <w:r w:rsidRPr="00927358">
              <w:t>Instruments that combine a traditional stock or bond with an option or forward contract and may embed derivatives and/or leverage e.g. exchangeable bonds, convertible bonds or bonds with warrants</w:t>
            </w:r>
            <w:r>
              <w:t>.</w:t>
            </w:r>
          </w:p>
        </w:tc>
      </w:tr>
      <w:tr w:rsidR="00BD2AB4" w:rsidRPr="000530F5" w14:paraId="4FA6FB7E" w14:textId="77777777" w:rsidTr="00BD2AB4">
        <w:tc>
          <w:tcPr>
            <w:tcW w:w="1516" w:type="dxa"/>
          </w:tcPr>
          <w:p w14:paraId="5E9FAD62" w14:textId="77777777" w:rsidR="00BD2AB4" w:rsidRDefault="00BD2AB4" w:rsidP="000528AD">
            <w:pPr>
              <w:spacing w:after="240"/>
              <w:rPr>
                <w:b/>
                <w:bCs/>
              </w:rPr>
            </w:pPr>
            <w:r>
              <w:rPr>
                <w:b/>
                <w:bCs/>
              </w:rPr>
              <w:t>i</w:t>
            </w:r>
            <w:r w:rsidRPr="00557C95">
              <w:rPr>
                <w:b/>
                <w:bCs/>
              </w:rPr>
              <w:t>nvestment grade</w:t>
            </w:r>
          </w:p>
        </w:tc>
        <w:tc>
          <w:tcPr>
            <w:tcW w:w="7500" w:type="dxa"/>
          </w:tcPr>
          <w:p w14:paraId="2ECB7DD4" w14:textId="77777777" w:rsidR="00BD2AB4" w:rsidRPr="000530F5" w:rsidRDefault="00BD2AB4" w:rsidP="000528AD">
            <w:pPr>
              <w:spacing w:after="240"/>
            </w:pPr>
            <w:r>
              <w:rPr>
                <w:rFonts w:cs="Arial"/>
                <w:szCs w:val="20"/>
                <w:shd w:val="clear" w:color="auto" w:fill="FFFFFF"/>
              </w:rPr>
              <w:t>A</w:t>
            </w:r>
            <w:r w:rsidRPr="00563E4C">
              <w:rPr>
                <w:rFonts w:cs="Arial"/>
                <w:szCs w:val="20"/>
                <w:shd w:val="clear" w:color="auto" w:fill="FFFFFF"/>
              </w:rPr>
              <w:t xml:space="preserve"> credit quality rating of BBB-/Baa3 and higher, rated by Moody’s, Standard and Poor’s or its equivalent by another independent ratings agency. </w:t>
            </w:r>
            <w:r>
              <w:rPr>
                <w:rFonts w:cs="Arial"/>
                <w:szCs w:val="20"/>
                <w:shd w:val="clear" w:color="auto" w:fill="FFFFFF"/>
              </w:rPr>
              <w:t>An investment grade rating indicates a lower risk of default and that the issuer will be able to meet their payment obligations (coupon and principal payments).</w:t>
            </w:r>
          </w:p>
        </w:tc>
      </w:tr>
      <w:tr w:rsidR="00BD2AB4" w14:paraId="0710059C" w14:textId="77777777" w:rsidTr="00BD2AB4">
        <w:tc>
          <w:tcPr>
            <w:tcW w:w="1516" w:type="dxa"/>
          </w:tcPr>
          <w:p w14:paraId="540AE391" w14:textId="77777777" w:rsidR="00BD2AB4" w:rsidRPr="00557C95" w:rsidRDefault="00BD2AB4" w:rsidP="000528AD">
            <w:pPr>
              <w:spacing w:after="240"/>
              <w:rPr>
                <w:b/>
                <w:bCs/>
              </w:rPr>
            </w:pPr>
            <w:r>
              <w:rPr>
                <w:b/>
                <w:bCs/>
              </w:rPr>
              <w:t>m</w:t>
            </w:r>
            <w:r w:rsidRPr="00557C95">
              <w:rPr>
                <w:b/>
                <w:bCs/>
              </w:rPr>
              <w:t xml:space="preserve">oney </w:t>
            </w:r>
            <w:r>
              <w:rPr>
                <w:b/>
                <w:bCs/>
              </w:rPr>
              <w:t>m</w:t>
            </w:r>
            <w:r w:rsidRPr="00557C95">
              <w:rPr>
                <w:b/>
                <w:bCs/>
              </w:rPr>
              <w:t xml:space="preserve">arket </w:t>
            </w:r>
            <w:r>
              <w:rPr>
                <w:b/>
                <w:bCs/>
              </w:rPr>
              <w:t>i</w:t>
            </w:r>
            <w:r w:rsidRPr="00557C95">
              <w:rPr>
                <w:b/>
                <w:bCs/>
              </w:rPr>
              <w:t xml:space="preserve">nstruments  </w:t>
            </w:r>
          </w:p>
        </w:tc>
        <w:tc>
          <w:tcPr>
            <w:tcW w:w="7500" w:type="dxa"/>
          </w:tcPr>
          <w:p w14:paraId="40C926DD" w14:textId="77777777" w:rsidR="00BD2AB4" w:rsidRDefault="00BD2AB4" w:rsidP="000528AD">
            <w:r w:rsidRPr="00AA74CA">
              <w:t>Money market instruments are short-term fixed-income securities, which generally have remaining maturities of one year or less. These are normally dealt on money markets, and may include government or supranational debt securities, commercial paper, certificates of deposit, deposit receipts and other similar instruments</w:t>
            </w:r>
            <w:r>
              <w:t>.</w:t>
            </w:r>
          </w:p>
          <w:p w14:paraId="7FE4C96B" w14:textId="77777777" w:rsidR="00BD2AB4" w:rsidRDefault="00BD2AB4" w:rsidP="000528AD">
            <w:pPr>
              <w:rPr>
                <w:rFonts w:cs="Arial"/>
                <w:szCs w:val="20"/>
                <w:shd w:val="clear" w:color="auto" w:fill="FFFFFF"/>
              </w:rPr>
            </w:pPr>
          </w:p>
        </w:tc>
      </w:tr>
      <w:tr w:rsidR="00BD2AB4" w14:paraId="6A02C6D6" w14:textId="77777777" w:rsidTr="00BD2AB4">
        <w:tc>
          <w:tcPr>
            <w:tcW w:w="1516" w:type="dxa"/>
          </w:tcPr>
          <w:p w14:paraId="0CB3EF57" w14:textId="77777777" w:rsidR="00BD2AB4" w:rsidRPr="00015477" w:rsidRDefault="00BD2AB4" w:rsidP="000528AD">
            <w:pPr>
              <w:spacing w:after="240"/>
              <w:rPr>
                <w:b/>
                <w:bCs/>
              </w:rPr>
            </w:pPr>
            <w:r>
              <w:rPr>
                <w:b/>
                <w:bCs/>
              </w:rPr>
              <w:t>NAV</w:t>
            </w:r>
          </w:p>
        </w:tc>
        <w:tc>
          <w:tcPr>
            <w:tcW w:w="7500" w:type="dxa"/>
          </w:tcPr>
          <w:p w14:paraId="6DF1A2E3" w14:textId="77777777" w:rsidR="00BD2AB4" w:rsidRDefault="00BD2AB4" w:rsidP="000528AD">
            <w:r>
              <w:t xml:space="preserve">Net Asset Value, </w:t>
            </w:r>
            <w:r w:rsidRPr="0094247B">
              <w:t xml:space="preserve">the net value of </w:t>
            </w:r>
            <w:r>
              <w:t>a Sub-Fund’s</w:t>
            </w:r>
            <w:r w:rsidRPr="0094247B">
              <w:t xml:space="preserve"> assets less its liabilities</w:t>
            </w:r>
            <w:r>
              <w:t>.</w:t>
            </w:r>
          </w:p>
        </w:tc>
      </w:tr>
      <w:tr w:rsidR="00BD2AB4" w:rsidRPr="00557C95" w14:paraId="72D4E7A8" w14:textId="77777777" w:rsidTr="00BD2AB4">
        <w:tc>
          <w:tcPr>
            <w:tcW w:w="1516" w:type="dxa"/>
          </w:tcPr>
          <w:p w14:paraId="70F24572" w14:textId="302A4EE8" w:rsidR="00BD2AB4" w:rsidRPr="00015477" w:rsidRDefault="00BD2AB4" w:rsidP="000528AD">
            <w:pPr>
              <w:spacing w:after="240"/>
              <w:rPr>
                <w:b/>
                <w:bCs/>
              </w:rPr>
            </w:pPr>
            <w:r w:rsidRPr="00BD2AB4">
              <w:rPr>
                <w:b/>
                <w:bCs/>
                <w:lang w:val="en-IE"/>
              </w:rPr>
              <w:t>Nuclear Non-Proliferation Treaty</w:t>
            </w:r>
          </w:p>
        </w:tc>
        <w:tc>
          <w:tcPr>
            <w:tcW w:w="7500" w:type="dxa"/>
          </w:tcPr>
          <w:p w14:paraId="195F29D7" w14:textId="1607CDFE" w:rsidR="00BD2AB4" w:rsidRDefault="00BD2AB4" w:rsidP="000528AD">
            <w:r w:rsidRPr="00BD2AB4">
              <w:rPr>
                <w:lang w:val="en-IE"/>
              </w:rPr>
              <w:t>An international agreement designed to prevent the spread of nuclear weapons, promote cooperation in peaceful uses of nuclear energy and to further the goal of achieving nuclear disarmament and broader disarmament.</w:t>
            </w:r>
          </w:p>
        </w:tc>
      </w:tr>
      <w:tr w:rsidR="00BD2AB4" w:rsidRPr="00557C95" w14:paraId="069CF65B" w14:textId="77777777" w:rsidTr="00BD2AB4">
        <w:tc>
          <w:tcPr>
            <w:tcW w:w="1516" w:type="dxa"/>
          </w:tcPr>
          <w:p w14:paraId="079300FF" w14:textId="77777777" w:rsidR="00BD2AB4" w:rsidRDefault="00BD2AB4" w:rsidP="000528AD">
            <w:pPr>
              <w:spacing w:after="240"/>
              <w:rPr>
                <w:b/>
                <w:bCs/>
              </w:rPr>
            </w:pPr>
            <w:r w:rsidRPr="00015477">
              <w:rPr>
                <w:b/>
                <w:bCs/>
              </w:rPr>
              <w:t>optimisation process</w:t>
            </w:r>
          </w:p>
        </w:tc>
        <w:tc>
          <w:tcPr>
            <w:tcW w:w="7500" w:type="dxa"/>
          </w:tcPr>
          <w:p w14:paraId="2D99F6C7" w14:textId="77777777" w:rsidR="00BD2AB4" w:rsidRPr="00557C95" w:rsidRDefault="00BD2AB4" w:rsidP="000528AD">
            <w:r>
              <w:t>M</w:t>
            </w:r>
            <w:r w:rsidRPr="00015477">
              <w:t>athematical techniques and algorithms used to find the optimal allocation of assets or portfolio weights that maximise a specific objective or minimize a certain risk</w:t>
            </w:r>
            <w:r>
              <w:t>.</w:t>
            </w:r>
          </w:p>
        </w:tc>
      </w:tr>
      <w:tr w:rsidR="00BD2AB4" w14:paraId="2BD64F2F" w14:textId="77777777" w:rsidTr="00BD2AB4">
        <w:tc>
          <w:tcPr>
            <w:tcW w:w="1516" w:type="dxa"/>
          </w:tcPr>
          <w:p w14:paraId="4EA3AE2A" w14:textId="77777777" w:rsidR="00BD2AB4" w:rsidRPr="00557C95" w:rsidRDefault="00BD2AB4" w:rsidP="000528AD">
            <w:pPr>
              <w:spacing w:after="240"/>
              <w:rPr>
                <w:b/>
                <w:bCs/>
              </w:rPr>
            </w:pPr>
            <w:r>
              <w:rPr>
                <w:b/>
                <w:bCs/>
              </w:rPr>
              <w:t>o</w:t>
            </w:r>
            <w:r w:rsidRPr="00557C95">
              <w:rPr>
                <w:b/>
                <w:bCs/>
              </w:rPr>
              <w:t xml:space="preserve">ption  </w:t>
            </w:r>
          </w:p>
          <w:p w14:paraId="785D686E" w14:textId="77777777" w:rsidR="00BD2AB4" w:rsidRPr="00015477" w:rsidRDefault="00BD2AB4" w:rsidP="000528AD">
            <w:pPr>
              <w:spacing w:after="240"/>
              <w:rPr>
                <w:b/>
                <w:bCs/>
              </w:rPr>
            </w:pPr>
          </w:p>
        </w:tc>
        <w:tc>
          <w:tcPr>
            <w:tcW w:w="7500" w:type="dxa"/>
          </w:tcPr>
          <w:p w14:paraId="327C48BC" w14:textId="77777777" w:rsidR="00BD2AB4" w:rsidRPr="00557C95" w:rsidRDefault="00BD2AB4" w:rsidP="000528AD">
            <w:r w:rsidRPr="00557C95">
              <w:t>A derivative contract sold by one party to another which offers the buyer the right, but not the obligation, to buy (in the case of a call option) or sell (in the case of a put option) an underlying asset at a pre-agreed price either during a certain period of time or on a specific date. May include bond, equity, interest rate, currency and index options and options on futures and swaps.</w:t>
            </w:r>
          </w:p>
          <w:p w14:paraId="64FF290A" w14:textId="77777777" w:rsidR="00BD2AB4" w:rsidRDefault="00BD2AB4" w:rsidP="000528AD"/>
        </w:tc>
      </w:tr>
      <w:tr w:rsidR="00BD2AB4" w:rsidRPr="00557C95" w14:paraId="1B5FD92F" w14:textId="77777777" w:rsidTr="00BD2AB4">
        <w:tc>
          <w:tcPr>
            <w:tcW w:w="1516" w:type="dxa"/>
          </w:tcPr>
          <w:p w14:paraId="57A87CCA" w14:textId="77777777" w:rsidR="00BD2AB4" w:rsidRDefault="00BD2AB4" w:rsidP="000528AD">
            <w:pPr>
              <w:spacing w:after="240"/>
              <w:rPr>
                <w:b/>
                <w:bCs/>
              </w:rPr>
            </w:pPr>
            <w:r>
              <w:rPr>
                <w:b/>
                <w:bCs/>
              </w:rPr>
              <w:t>q</w:t>
            </w:r>
            <w:r w:rsidRPr="00953FAA">
              <w:rPr>
                <w:b/>
                <w:bCs/>
              </w:rPr>
              <w:t>uasi sovereign debt</w:t>
            </w:r>
          </w:p>
        </w:tc>
        <w:tc>
          <w:tcPr>
            <w:tcW w:w="7500" w:type="dxa"/>
          </w:tcPr>
          <w:p w14:paraId="75C82C7E" w14:textId="77777777" w:rsidR="00BD2AB4" w:rsidRPr="00557C95" w:rsidRDefault="00BD2AB4" w:rsidP="000528AD">
            <w:r>
              <w:t xml:space="preserve">Debt </w:t>
            </w:r>
            <w:r w:rsidRPr="00953FAA">
              <w:t xml:space="preserve">securities </w:t>
            </w:r>
            <w:r>
              <w:t xml:space="preserve">of issuers </w:t>
            </w:r>
            <w:r w:rsidRPr="00953FAA">
              <w:t xml:space="preserve">which are </w:t>
            </w:r>
            <w:r>
              <w:t>majority s</w:t>
            </w:r>
            <w:r w:rsidRPr="00953FAA">
              <w:t>tate owned or have an explicit sovereign guarantee</w:t>
            </w:r>
            <w:r>
              <w:t>.</w:t>
            </w:r>
          </w:p>
        </w:tc>
      </w:tr>
      <w:tr w:rsidR="00BD2AB4" w14:paraId="0CB83E66" w14:textId="77777777" w:rsidTr="00BD2AB4">
        <w:trPr>
          <w:trHeight w:val="906"/>
        </w:trPr>
        <w:tc>
          <w:tcPr>
            <w:tcW w:w="1516" w:type="dxa"/>
          </w:tcPr>
          <w:p w14:paraId="471B99D8" w14:textId="77777777" w:rsidR="00BD2AB4" w:rsidRDefault="00BD2AB4" w:rsidP="000528AD">
            <w:pPr>
              <w:spacing w:after="240"/>
              <w:rPr>
                <w:b/>
                <w:szCs w:val="20"/>
              </w:rPr>
            </w:pPr>
            <w:r w:rsidRPr="00E126ED">
              <w:rPr>
                <w:b/>
                <w:bCs/>
                <w:szCs w:val="20"/>
              </w:rPr>
              <w:lastRenderedPageBreak/>
              <w:t>QFI</w:t>
            </w:r>
            <w:r>
              <w:rPr>
                <w:szCs w:val="20"/>
              </w:rPr>
              <w:t xml:space="preserve">  </w:t>
            </w:r>
          </w:p>
        </w:tc>
        <w:tc>
          <w:tcPr>
            <w:tcW w:w="7500" w:type="dxa"/>
          </w:tcPr>
          <w:p w14:paraId="08E9CF09" w14:textId="77777777" w:rsidR="00BD2AB4" w:rsidRDefault="00BD2AB4" w:rsidP="000528AD">
            <w:pPr>
              <w:spacing w:after="120"/>
            </w:pPr>
            <w:r w:rsidRPr="00E126ED">
              <w:rPr>
                <w:szCs w:val="20"/>
              </w:rPr>
              <w:t>The Qualified Foreign Investor (</w:t>
            </w:r>
            <w:r>
              <w:rPr>
                <w:szCs w:val="20"/>
              </w:rPr>
              <w:t>"</w:t>
            </w:r>
            <w:r w:rsidRPr="00E126ED">
              <w:rPr>
                <w:b/>
                <w:bCs/>
                <w:szCs w:val="20"/>
              </w:rPr>
              <w:t>QFI</w:t>
            </w:r>
            <w:r>
              <w:rPr>
                <w:szCs w:val="20"/>
              </w:rPr>
              <w:t>"</w:t>
            </w:r>
            <w:r w:rsidRPr="00E126ED">
              <w:rPr>
                <w:szCs w:val="20"/>
              </w:rPr>
              <w:t xml:space="preserve">) regime allows qualifying investors to invest directly in certain securities of mainland China, subject to applicable Chinese regulatory requirements. </w:t>
            </w:r>
          </w:p>
        </w:tc>
      </w:tr>
      <w:tr w:rsidR="00BD2AB4" w:rsidRPr="00E126ED" w14:paraId="4AA30EAE" w14:textId="77777777" w:rsidTr="00BD2AB4">
        <w:trPr>
          <w:trHeight w:val="906"/>
        </w:trPr>
        <w:tc>
          <w:tcPr>
            <w:tcW w:w="1516" w:type="dxa"/>
          </w:tcPr>
          <w:p w14:paraId="133E9664" w14:textId="77777777" w:rsidR="00BD2AB4" w:rsidRPr="00E126ED" w:rsidRDefault="00BD2AB4" w:rsidP="000528AD">
            <w:pPr>
              <w:spacing w:after="240"/>
              <w:rPr>
                <w:b/>
                <w:bCs/>
                <w:szCs w:val="20"/>
              </w:rPr>
            </w:pPr>
            <w:r w:rsidRPr="008B2C99">
              <w:rPr>
                <w:b/>
                <w:bCs/>
                <w:szCs w:val="20"/>
              </w:rPr>
              <w:t>Paris Aligned benchmark</w:t>
            </w:r>
          </w:p>
        </w:tc>
        <w:tc>
          <w:tcPr>
            <w:tcW w:w="7500" w:type="dxa"/>
          </w:tcPr>
          <w:p w14:paraId="631C2ACE" w14:textId="77777777" w:rsidR="00BD2AB4" w:rsidRPr="00E126ED" w:rsidRDefault="00BD2AB4" w:rsidP="000528AD">
            <w:pPr>
              <w:spacing w:after="120"/>
              <w:rPr>
                <w:szCs w:val="20"/>
              </w:rPr>
            </w:pPr>
            <w:r>
              <w:rPr>
                <w:szCs w:val="20"/>
              </w:rPr>
              <w:t>A</w:t>
            </w:r>
            <w:r w:rsidRPr="008B2C99">
              <w:rPr>
                <w:szCs w:val="20"/>
              </w:rPr>
              <w:t>n index that is designed to align with the goals of the Paris Agreement on climate change.</w:t>
            </w:r>
          </w:p>
        </w:tc>
      </w:tr>
      <w:tr w:rsidR="00BD2AB4" w:rsidRPr="00557C95" w14:paraId="4861EF1E" w14:textId="77777777" w:rsidTr="00BD2AB4">
        <w:tc>
          <w:tcPr>
            <w:tcW w:w="1516" w:type="dxa"/>
          </w:tcPr>
          <w:p w14:paraId="6C770DFD" w14:textId="77777777" w:rsidR="00BD2AB4" w:rsidRPr="00557C95" w:rsidRDefault="00BD2AB4" w:rsidP="000528AD">
            <w:pPr>
              <w:spacing w:after="240"/>
              <w:rPr>
                <w:b/>
                <w:bCs/>
              </w:rPr>
            </w:pPr>
            <w:r>
              <w:rPr>
                <w:b/>
                <w:szCs w:val="20"/>
              </w:rPr>
              <w:t>Real Estate Investment Trusts (REITs)</w:t>
            </w:r>
          </w:p>
        </w:tc>
        <w:tc>
          <w:tcPr>
            <w:tcW w:w="7500" w:type="dxa"/>
          </w:tcPr>
          <w:p w14:paraId="2E608884" w14:textId="77777777" w:rsidR="00BD2AB4" w:rsidRPr="00557C95" w:rsidRDefault="00BD2AB4" w:rsidP="000528AD">
            <w:r>
              <w:rPr>
                <w:rStyle w:val="ui-provider"/>
              </w:rPr>
              <w:t>An entity that owns, operates or finances income-generating real estate or related assets, either residential or commercial.</w:t>
            </w:r>
          </w:p>
        </w:tc>
      </w:tr>
      <w:tr w:rsidR="00BD2AB4" w14:paraId="57EF7C74" w14:textId="77777777" w:rsidTr="00BD2AB4">
        <w:tc>
          <w:tcPr>
            <w:tcW w:w="1516" w:type="dxa"/>
          </w:tcPr>
          <w:p w14:paraId="701F3075" w14:textId="77777777" w:rsidR="00BD2AB4" w:rsidRDefault="00BD2AB4" w:rsidP="000528AD">
            <w:pPr>
              <w:spacing w:after="240"/>
              <w:rPr>
                <w:b/>
                <w:szCs w:val="20"/>
              </w:rPr>
            </w:pPr>
            <w:r>
              <w:rPr>
                <w:b/>
                <w:bCs/>
              </w:rPr>
              <w:t>r</w:t>
            </w:r>
            <w:r w:rsidRPr="00631DD9">
              <w:rPr>
                <w:b/>
                <w:bCs/>
              </w:rPr>
              <w:t xml:space="preserve">epurchase </w:t>
            </w:r>
            <w:r>
              <w:rPr>
                <w:b/>
                <w:bCs/>
              </w:rPr>
              <w:t>a</w:t>
            </w:r>
            <w:r w:rsidRPr="00631DD9">
              <w:rPr>
                <w:b/>
                <w:bCs/>
              </w:rPr>
              <w:t>greement</w:t>
            </w:r>
            <w:r>
              <w:rPr>
                <w:b/>
                <w:bCs/>
              </w:rPr>
              <w:t xml:space="preserve"> (repo)</w:t>
            </w:r>
          </w:p>
        </w:tc>
        <w:tc>
          <w:tcPr>
            <w:tcW w:w="7500" w:type="dxa"/>
          </w:tcPr>
          <w:p w14:paraId="7792DB2E" w14:textId="77777777" w:rsidR="00BD2AB4" w:rsidRDefault="00BD2AB4" w:rsidP="000528AD">
            <w:r>
              <w:t xml:space="preserve">A </w:t>
            </w:r>
            <w:r w:rsidRPr="008B2C99">
              <w:t xml:space="preserve">transaction where a </w:t>
            </w:r>
            <w:r>
              <w:t>Sub-Fund</w:t>
            </w:r>
            <w:r w:rsidRPr="008B2C99">
              <w:t xml:space="preserve"> ‘sells’ securities to a reverse-repo counterparty and agrees to buy them back at an agreed price in the future.</w:t>
            </w:r>
          </w:p>
        </w:tc>
      </w:tr>
      <w:tr w:rsidR="00BD2AB4" w:rsidRPr="001243D2" w14:paraId="0889702E" w14:textId="77777777" w:rsidTr="00BD2AB4">
        <w:tc>
          <w:tcPr>
            <w:tcW w:w="1516" w:type="dxa"/>
          </w:tcPr>
          <w:p w14:paraId="19865B04" w14:textId="77777777" w:rsidR="00BD2AB4" w:rsidRPr="00631DD9" w:rsidRDefault="00BD2AB4" w:rsidP="000528AD">
            <w:pPr>
              <w:spacing w:after="240"/>
              <w:jc w:val="left"/>
              <w:rPr>
                <w:b/>
                <w:bCs/>
              </w:rPr>
            </w:pPr>
            <w:r>
              <w:rPr>
                <w:b/>
                <w:bCs/>
              </w:rPr>
              <w:t>r</w:t>
            </w:r>
            <w:r w:rsidRPr="00631DD9">
              <w:rPr>
                <w:b/>
                <w:bCs/>
              </w:rPr>
              <w:t xml:space="preserve">everse </w:t>
            </w:r>
            <w:r>
              <w:rPr>
                <w:b/>
                <w:bCs/>
              </w:rPr>
              <w:t>r</w:t>
            </w:r>
            <w:r w:rsidRPr="00631DD9">
              <w:rPr>
                <w:b/>
                <w:bCs/>
              </w:rPr>
              <w:t xml:space="preserve">epurchase </w:t>
            </w:r>
            <w:r>
              <w:rPr>
                <w:b/>
                <w:bCs/>
              </w:rPr>
              <w:t>a</w:t>
            </w:r>
            <w:r w:rsidRPr="00631DD9">
              <w:rPr>
                <w:b/>
                <w:bCs/>
              </w:rPr>
              <w:t>greements</w:t>
            </w:r>
            <w:r>
              <w:rPr>
                <w:b/>
                <w:bCs/>
              </w:rPr>
              <w:t xml:space="preserve"> (reverse repo)</w:t>
            </w:r>
          </w:p>
        </w:tc>
        <w:tc>
          <w:tcPr>
            <w:tcW w:w="7500" w:type="dxa"/>
          </w:tcPr>
          <w:p w14:paraId="525E5902" w14:textId="77777777" w:rsidR="00BD2AB4" w:rsidRPr="001243D2" w:rsidRDefault="00BD2AB4" w:rsidP="000528AD">
            <w:pPr>
              <w:spacing w:after="240"/>
              <w:jc w:val="left"/>
            </w:pPr>
            <w:r w:rsidRPr="00417909">
              <w:t xml:space="preserve">A transaction where a Sub-Fund ‘purchases’ securities from a repo counterparty and agrees to sell them back at an agreed price in the future. </w:t>
            </w:r>
          </w:p>
        </w:tc>
      </w:tr>
      <w:tr w:rsidR="00BD2AB4" w:rsidRPr="003129EA" w14:paraId="18994E9D" w14:textId="77777777" w:rsidTr="00BD2AB4">
        <w:trPr>
          <w:trHeight w:val="855"/>
        </w:trPr>
        <w:tc>
          <w:tcPr>
            <w:tcW w:w="1516" w:type="dxa"/>
          </w:tcPr>
          <w:p w14:paraId="1BA14F02" w14:textId="77777777" w:rsidR="00BD2AB4" w:rsidRPr="00631DD9" w:rsidRDefault="00BD2AB4" w:rsidP="000528AD">
            <w:pPr>
              <w:spacing w:after="240"/>
              <w:jc w:val="left"/>
              <w:rPr>
                <w:b/>
                <w:bCs/>
              </w:rPr>
            </w:pPr>
            <w:r>
              <w:rPr>
                <w:b/>
                <w:bCs/>
              </w:rPr>
              <w:t>s</w:t>
            </w:r>
            <w:r w:rsidRPr="00631DD9">
              <w:rPr>
                <w:b/>
                <w:bCs/>
              </w:rPr>
              <w:t xml:space="preserve">ecurities </w:t>
            </w:r>
            <w:r>
              <w:rPr>
                <w:b/>
                <w:bCs/>
              </w:rPr>
              <w:t>l</w:t>
            </w:r>
            <w:r w:rsidRPr="00631DD9">
              <w:rPr>
                <w:b/>
                <w:bCs/>
              </w:rPr>
              <w:t>ending</w:t>
            </w:r>
            <w:r>
              <w:rPr>
                <w:b/>
                <w:bCs/>
              </w:rPr>
              <w:t xml:space="preserve">  </w:t>
            </w:r>
          </w:p>
        </w:tc>
        <w:tc>
          <w:tcPr>
            <w:tcW w:w="7500" w:type="dxa"/>
          </w:tcPr>
          <w:p w14:paraId="1660BF58" w14:textId="77777777" w:rsidR="00BD2AB4" w:rsidRPr="003129EA" w:rsidRDefault="00BD2AB4" w:rsidP="000528AD">
            <w:pPr>
              <w:spacing w:after="240"/>
              <w:jc w:val="left"/>
            </w:pPr>
            <w:r w:rsidRPr="000530F5">
              <w:t>A</w:t>
            </w:r>
            <w:r w:rsidRPr="00035CF2">
              <w:t xml:space="preserve"> loan of securities which </w:t>
            </w:r>
            <w:r>
              <w:t xml:space="preserve">the Sub-Fund </w:t>
            </w:r>
            <w:r w:rsidRPr="00035CF2">
              <w:t>holds to a borrower upon terms that require the borrower to return equivalent securities to the Sub-Fund within a specified period and to pay the Sub-Fund a fee for the use of the securities during the period that they are on loan.</w:t>
            </w:r>
          </w:p>
        </w:tc>
      </w:tr>
      <w:tr w:rsidR="00BD2AB4" w:rsidRPr="000530F5" w14:paraId="5FA8D1ED" w14:textId="77777777" w:rsidTr="00BD2AB4">
        <w:trPr>
          <w:trHeight w:val="855"/>
        </w:trPr>
        <w:tc>
          <w:tcPr>
            <w:tcW w:w="1516" w:type="dxa"/>
          </w:tcPr>
          <w:p w14:paraId="4C69A6FD" w14:textId="77777777" w:rsidR="00BD2AB4" w:rsidRPr="0008769F" w:rsidRDefault="00BD2AB4" w:rsidP="000528AD">
            <w:pPr>
              <w:spacing w:after="240"/>
              <w:jc w:val="left"/>
            </w:pPr>
            <w:r w:rsidRPr="0008769F">
              <w:rPr>
                <w:b/>
                <w:bCs/>
              </w:rPr>
              <w:t>sovereign debt</w:t>
            </w:r>
          </w:p>
        </w:tc>
        <w:tc>
          <w:tcPr>
            <w:tcW w:w="7500" w:type="dxa"/>
          </w:tcPr>
          <w:p w14:paraId="0C381C78" w14:textId="77777777" w:rsidR="00BD2AB4" w:rsidRPr="000530F5" w:rsidRDefault="00BD2AB4" w:rsidP="000528AD">
            <w:pPr>
              <w:spacing w:after="240"/>
              <w:jc w:val="left"/>
            </w:pPr>
            <w:r w:rsidRPr="0008769F">
              <w:t>Debt obligations issued or guaranteed by governments or their agencies.</w:t>
            </w:r>
          </w:p>
        </w:tc>
      </w:tr>
      <w:tr w:rsidR="00BD2AB4" w:rsidRPr="000530F5" w14:paraId="75175A36" w14:textId="77777777" w:rsidTr="00BD2AB4">
        <w:trPr>
          <w:trHeight w:val="855"/>
        </w:trPr>
        <w:tc>
          <w:tcPr>
            <w:tcW w:w="1516" w:type="dxa"/>
          </w:tcPr>
          <w:p w14:paraId="6A8A62FD" w14:textId="77777777" w:rsidR="00BD2AB4" w:rsidRDefault="00BD2AB4" w:rsidP="000528AD">
            <w:pPr>
              <w:spacing w:after="240"/>
              <w:jc w:val="left"/>
              <w:rPr>
                <w:b/>
                <w:bCs/>
              </w:rPr>
            </w:pPr>
            <w:r w:rsidRPr="00417909">
              <w:rPr>
                <w:b/>
                <w:bCs/>
              </w:rPr>
              <w:t>speculative grade</w:t>
            </w:r>
          </w:p>
        </w:tc>
        <w:tc>
          <w:tcPr>
            <w:tcW w:w="7500" w:type="dxa"/>
          </w:tcPr>
          <w:p w14:paraId="5A046158" w14:textId="77777777" w:rsidR="00BD2AB4" w:rsidRPr="000530F5" w:rsidRDefault="00BD2AB4" w:rsidP="000528AD">
            <w:pPr>
              <w:spacing w:after="240"/>
              <w:jc w:val="left"/>
            </w:pPr>
            <w:r>
              <w:t>A</w:t>
            </w:r>
            <w:r w:rsidRPr="00417909">
              <w:t xml:space="preserve"> credit quality rating of below B--/B3 or above but below investment grade, rated by Moody’s, Standard and Poor’s or its equivalent by another independent ratings agency.  Debt securities with such credit rating are typically subject to greater levels of interest rate risk, credit risk and liquidity risk than investment grade securities</w:t>
            </w:r>
            <w:r>
              <w:t>.</w:t>
            </w:r>
          </w:p>
        </w:tc>
      </w:tr>
      <w:tr w:rsidR="00BD2AB4" w:rsidRPr="000530F5" w14:paraId="6232B527" w14:textId="77777777" w:rsidTr="00BD2AB4">
        <w:tc>
          <w:tcPr>
            <w:tcW w:w="1516" w:type="dxa"/>
          </w:tcPr>
          <w:p w14:paraId="1BECC361" w14:textId="77777777" w:rsidR="00BD2AB4" w:rsidRPr="00631DD9" w:rsidRDefault="00BD2AB4" w:rsidP="000528AD">
            <w:pPr>
              <w:spacing w:after="240"/>
              <w:jc w:val="left"/>
              <w:rPr>
                <w:szCs w:val="20"/>
              </w:rPr>
            </w:pPr>
            <w:r>
              <w:rPr>
                <w:b/>
                <w:szCs w:val="20"/>
              </w:rPr>
              <w:t>S</w:t>
            </w:r>
            <w:r w:rsidRPr="00E126ED">
              <w:rPr>
                <w:b/>
                <w:szCs w:val="20"/>
              </w:rPr>
              <w:t>tock</w:t>
            </w:r>
            <w:r w:rsidRPr="00E126ED">
              <w:rPr>
                <w:szCs w:val="20"/>
              </w:rPr>
              <w:t xml:space="preserve"> </w:t>
            </w:r>
            <w:r w:rsidRPr="00E126ED">
              <w:rPr>
                <w:b/>
                <w:szCs w:val="20"/>
              </w:rPr>
              <w:t>Connect</w:t>
            </w:r>
            <w:r w:rsidRPr="00E126ED">
              <w:rPr>
                <w:szCs w:val="20"/>
              </w:rPr>
              <w:t xml:space="preserve"> </w:t>
            </w:r>
          </w:p>
          <w:p w14:paraId="65101A28" w14:textId="77777777" w:rsidR="00BD2AB4" w:rsidRPr="00631DD9" w:rsidRDefault="00BD2AB4" w:rsidP="000528AD">
            <w:pPr>
              <w:spacing w:after="240"/>
              <w:jc w:val="left"/>
              <w:rPr>
                <w:b/>
                <w:bCs/>
              </w:rPr>
            </w:pPr>
          </w:p>
        </w:tc>
        <w:tc>
          <w:tcPr>
            <w:tcW w:w="7500" w:type="dxa"/>
          </w:tcPr>
          <w:p w14:paraId="35C85A08" w14:textId="77777777" w:rsidR="00BD2AB4" w:rsidRPr="000530F5" w:rsidRDefault="00BD2AB4" w:rsidP="000528AD">
            <w:pPr>
              <w:spacing w:after="240"/>
              <w:jc w:val="left"/>
            </w:pPr>
            <w:r>
              <w:rPr>
                <w:szCs w:val="20"/>
              </w:rPr>
              <w:t xml:space="preserve">A trading mechanism </w:t>
            </w:r>
            <w:r w:rsidRPr="00E126ED">
              <w:rPr>
                <w:szCs w:val="20"/>
              </w:rPr>
              <w:t xml:space="preserve">used to achieve exposure to the </w:t>
            </w:r>
            <w:r>
              <w:rPr>
                <w:szCs w:val="20"/>
              </w:rPr>
              <w:t>PRC</w:t>
            </w:r>
            <w:r w:rsidRPr="00E126ED">
              <w:rPr>
                <w:szCs w:val="20"/>
              </w:rPr>
              <w:t xml:space="preserve"> by investing in eligible China A-</w:t>
            </w:r>
            <w:r>
              <w:rPr>
                <w:szCs w:val="20"/>
              </w:rPr>
              <w:t>Shares</w:t>
            </w:r>
            <w:r w:rsidRPr="00E126ED">
              <w:rPr>
                <w:szCs w:val="20"/>
              </w:rPr>
              <w:t xml:space="preserve"> traded on the Shanghai Stock Exchange via the Shanghai-Hong Kong Stock Connect scheme and the Shenzhen Stock Exchange via the Shenzhen-Hong Kong Stock Connect</w:t>
            </w:r>
            <w:r w:rsidRPr="00631DD9">
              <w:rPr>
                <w:szCs w:val="20"/>
              </w:rPr>
              <w:t xml:space="preserve"> </w:t>
            </w:r>
            <w:r w:rsidRPr="00E126ED">
              <w:rPr>
                <w:szCs w:val="20"/>
              </w:rPr>
              <w:t>scheme.</w:t>
            </w:r>
          </w:p>
        </w:tc>
      </w:tr>
      <w:tr w:rsidR="00BD2AB4" w14:paraId="6B751360" w14:textId="77777777" w:rsidTr="00BD2AB4">
        <w:tc>
          <w:tcPr>
            <w:tcW w:w="1516" w:type="dxa"/>
          </w:tcPr>
          <w:p w14:paraId="4E5C879D" w14:textId="77777777" w:rsidR="00BD2AB4" w:rsidRDefault="00BD2AB4" w:rsidP="000528AD">
            <w:pPr>
              <w:spacing w:after="240"/>
              <w:jc w:val="left"/>
              <w:rPr>
                <w:b/>
                <w:szCs w:val="20"/>
              </w:rPr>
            </w:pPr>
            <w:r w:rsidRPr="00417909">
              <w:rPr>
                <w:b/>
                <w:szCs w:val="20"/>
              </w:rPr>
              <w:t>structured note</w:t>
            </w:r>
          </w:p>
        </w:tc>
        <w:tc>
          <w:tcPr>
            <w:tcW w:w="7500" w:type="dxa"/>
          </w:tcPr>
          <w:p w14:paraId="4ECB61D5" w14:textId="77777777" w:rsidR="00BD2AB4" w:rsidRDefault="00BD2AB4" w:rsidP="000528AD">
            <w:pPr>
              <w:spacing w:after="240"/>
              <w:jc w:val="left"/>
              <w:rPr>
                <w:szCs w:val="20"/>
              </w:rPr>
            </w:pPr>
            <w:r w:rsidRPr="00417909">
              <w:rPr>
                <w:szCs w:val="20"/>
              </w:rPr>
              <w:t>A debt obligation that also contains an embedded derivative component that adjusts the security's risk/return profile. The return performance of a structured note will track both that of the underlying debt obligation and the derivative embedded within it.</w:t>
            </w:r>
          </w:p>
        </w:tc>
      </w:tr>
      <w:tr w:rsidR="00BD2AB4" w14:paraId="6DE6B7F4" w14:textId="77777777" w:rsidTr="00BD2AB4">
        <w:tc>
          <w:tcPr>
            <w:tcW w:w="1516" w:type="dxa"/>
          </w:tcPr>
          <w:p w14:paraId="05753267" w14:textId="77777777" w:rsidR="00BD2AB4" w:rsidRPr="00E126ED" w:rsidRDefault="00BD2AB4" w:rsidP="000528AD">
            <w:pPr>
              <w:spacing w:after="240"/>
              <w:jc w:val="left"/>
              <w:rPr>
                <w:b/>
                <w:szCs w:val="20"/>
              </w:rPr>
            </w:pPr>
            <w:r>
              <w:rPr>
                <w:b/>
                <w:bCs/>
              </w:rPr>
              <w:t xml:space="preserve">swaps/swap agreements  </w:t>
            </w:r>
          </w:p>
        </w:tc>
        <w:tc>
          <w:tcPr>
            <w:tcW w:w="7500" w:type="dxa"/>
          </w:tcPr>
          <w:p w14:paraId="7C1B5BE0" w14:textId="77777777" w:rsidR="00BD2AB4" w:rsidRDefault="00BD2AB4" w:rsidP="000528AD">
            <w:pPr>
              <w:jc w:val="left"/>
              <w:rPr>
                <w:rFonts w:cs="Arial"/>
                <w:szCs w:val="20"/>
              </w:rPr>
            </w:pPr>
            <w:r>
              <w:t>An</w:t>
            </w:r>
            <w:r w:rsidRPr="0000378A">
              <w:rPr>
                <w:rFonts w:cs="Arial"/>
                <w:szCs w:val="20"/>
              </w:rPr>
              <w:t xml:space="preserve"> </w:t>
            </w:r>
            <w:r>
              <w:rPr>
                <w:rFonts w:cs="Arial"/>
                <w:szCs w:val="20"/>
              </w:rPr>
              <w:t>over-the-counter</w:t>
            </w:r>
            <w:r w:rsidRPr="0000378A">
              <w:rPr>
                <w:rFonts w:cs="Arial"/>
                <w:szCs w:val="20"/>
              </w:rPr>
              <w:t xml:space="preserve"> derivative in which t</w:t>
            </w:r>
            <w:r>
              <w:rPr>
                <w:rFonts w:cs="Arial"/>
                <w:szCs w:val="20"/>
              </w:rPr>
              <w:t>he</w:t>
            </w:r>
            <w:r w:rsidRPr="0000378A">
              <w:rPr>
                <w:rFonts w:cs="Arial"/>
                <w:szCs w:val="20"/>
              </w:rPr>
              <w:t xml:space="preserve"> parties agree to exchange payment streams that may be calculated in relation to a rate, index, instrument, or certain securities and a particular </w:t>
            </w:r>
            <w:r>
              <w:rPr>
                <w:rFonts w:cs="Arial"/>
                <w:szCs w:val="20"/>
              </w:rPr>
              <w:t>"</w:t>
            </w:r>
            <w:r w:rsidRPr="0000378A">
              <w:rPr>
                <w:rFonts w:cs="Arial"/>
                <w:szCs w:val="20"/>
              </w:rPr>
              <w:t>notional amount.</w:t>
            </w:r>
            <w:r>
              <w:rPr>
                <w:rFonts w:cs="Arial"/>
                <w:szCs w:val="20"/>
              </w:rPr>
              <w:t>"</w:t>
            </w:r>
            <w:r w:rsidRPr="0000378A">
              <w:rPr>
                <w:rFonts w:cs="Arial"/>
                <w:szCs w:val="20"/>
              </w:rPr>
              <w:t xml:space="preserve">  </w:t>
            </w:r>
          </w:p>
          <w:p w14:paraId="40A0A500" w14:textId="77777777" w:rsidR="00BD2AB4" w:rsidRDefault="00BD2AB4" w:rsidP="000528AD">
            <w:pPr>
              <w:jc w:val="left"/>
              <w:rPr>
                <w:szCs w:val="20"/>
              </w:rPr>
            </w:pPr>
          </w:p>
        </w:tc>
      </w:tr>
      <w:tr w:rsidR="00BD2AB4" w14:paraId="79F53C2B" w14:textId="77777777" w:rsidTr="00BD2AB4">
        <w:tc>
          <w:tcPr>
            <w:tcW w:w="1516" w:type="dxa"/>
          </w:tcPr>
          <w:p w14:paraId="472C0C5E" w14:textId="77777777" w:rsidR="00BD2AB4" w:rsidRDefault="00BD2AB4" w:rsidP="000528AD">
            <w:pPr>
              <w:spacing w:after="240"/>
              <w:jc w:val="left"/>
              <w:rPr>
                <w:b/>
                <w:bCs/>
              </w:rPr>
            </w:pPr>
            <w:r w:rsidRPr="00417909">
              <w:rPr>
                <w:b/>
                <w:bCs/>
              </w:rPr>
              <w:t>technique(s)</w:t>
            </w:r>
          </w:p>
        </w:tc>
        <w:tc>
          <w:tcPr>
            <w:tcW w:w="7500" w:type="dxa"/>
          </w:tcPr>
          <w:p w14:paraId="7FE34E62" w14:textId="77777777" w:rsidR="00BD2AB4" w:rsidRDefault="00BD2AB4" w:rsidP="000528AD">
            <w:pPr>
              <w:jc w:val="left"/>
            </w:pPr>
            <w:r>
              <w:t>Any</w:t>
            </w:r>
            <w:r w:rsidRPr="00417909">
              <w:t xml:space="preserve"> or all of the following: repurchase agreement (repo), reverse repurchase agreements (reverse repo), securities lending.</w:t>
            </w:r>
          </w:p>
          <w:p w14:paraId="4E42F671" w14:textId="77777777" w:rsidR="00BD2AB4" w:rsidRDefault="00BD2AB4" w:rsidP="000528AD">
            <w:pPr>
              <w:jc w:val="left"/>
            </w:pPr>
          </w:p>
        </w:tc>
      </w:tr>
      <w:tr w:rsidR="00BD2AB4" w14:paraId="24F3D762" w14:textId="77777777" w:rsidTr="00BD2AB4">
        <w:tc>
          <w:tcPr>
            <w:tcW w:w="1516" w:type="dxa"/>
          </w:tcPr>
          <w:p w14:paraId="501225C5" w14:textId="77777777" w:rsidR="00BD2AB4" w:rsidRPr="00417909" w:rsidRDefault="00BD2AB4" w:rsidP="000528AD">
            <w:pPr>
              <w:spacing w:after="240"/>
              <w:jc w:val="left"/>
              <w:rPr>
                <w:b/>
                <w:bCs/>
              </w:rPr>
            </w:pPr>
            <w:r w:rsidRPr="00F75DB8">
              <w:rPr>
                <w:b/>
                <w:bCs/>
              </w:rPr>
              <w:t>Total Return (TR) Index</w:t>
            </w:r>
          </w:p>
        </w:tc>
        <w:tc>
          <w:tcPr>
            <w:tcW w:w="7500" w:type="dxa"/>
          </w:tcPr>
          <w:p w14:paraId="633FE2FC" w14:textId="77777777" w:rsidR="00BD2AB4" w:rsidRDefault="00BD2AB4" w:rsidP="000528AD">
            <w:pPr>
              <w:jc w:val="left"/>
            </w:pPr>
            <w:r>
              <w:t>Measures the performance of the benchmark components by assuming that all dividends or distributions are reinvested into the benchmark.</w:t>
            </w:r>
          </w:p>
        </w:tc>
      </w:tr>
      <w:tr w:rsidR="00BD2AB4" w14:paraId="4E3D1628" w14:textId="77777777" w:rsidTr="00BD2AB4">
        <w:tc>
          <w:tcPr>
            <w:tcW w:w="1516" w:type="dxa"/>
          </w:tcPr>
          <w:p w14:paraId="399A8B6A" w14:textId="77777777" w:rsidR="00BD2AB4" w:rsidRPr="00417909" w:rsidRDefault="00BD2AB4" w:rsidP="000528AD">
            <w:pPr>
              <w:spacing w:after="240"/>
              <w:jc w:val="left"/>
              <w:rPr>
                <w:b/>
                <w:bCs/>
              </w:rPr>
            </w:pPr>
            <w:r w:rsidRPr="00F75DB8">
              <w:rPr>
                <w:b/>
                <w:bCs/>
              </w:rPr>
              <w:lastRenderedPageBreak/>
              <w:t>Total Return Net (Net Tax TR) Index</w:t>
            </w:r>
          </w:p>
        </w:tc>
        <w:tc>
          <w:tcPr>
            <w:tcW w:w="7500" w:type="dxa"/>
          </w:tcPr>
          <w:p w14:paraId="78E33FEA" w14:textId="77777777" w:rsidR="00BD2AB4" w:rsidRDefault="00BD2AB4" w:rsidP="000528AD">
            <w:pPr>
              <w:jc w:val="left"/>
            </w:pPr>
            <w:r>
              <w:t>Measures the performance of the benchmark components by assuming that all dividends or distributions are reinvested into the benchmark after the deduction of any taxes that may apply.</w:t>
            </w:r>
          </w:p>
          <w:p w14:paraId="4117EF1E" w14:textId="77777777" w:rsidR="00BD2AB4" w:rsidRDefault="00BD2AB4" w:rsidP="000528AD">
            <w:pPr>
              <w:jc w:val="left"/>
            </w:pPr>
            <w:r>
              <w:t xml:space="preserve"> </w:t>
            </w:r>
          </w:p>
        </w:tc>
      </w:tr>
      <w:tr w:rsidR="00BD2AB4" w14:paraId="5A7783E5" w14:textId="77777777" w:rsidTr="00BD2AB4">
        <w:tc>
          <w:tcPr>
            <w:tcW w:w="1516" w:type="dxa"/>
          </w:tcPr>
          <w:p w14:paraId="1887E895" w14:textId="77777777" w:rsidR="00BD2AB4" w:rsidRPr="00417909" w:rsidRDefault="00BD2AB4" w:rsidP="000528AD">
            <w:pPr>
              <w:spacing w:after="240"/>
              <w:jc w:val="left"/>
              <w:rPr>
                <w:b/>
                <w:bCs/>
              </w:rPr>
            </w:pPr>
            <w:r w:rsidRPr="00F75DB8">
              <w:rPr>
                <w:b/>
                <w:bCs/>
              </w:rPr>
              <w:t>Total Return Gross (Gross Tax TR) Index</w:t>
            </w:r>
          </w:p>
        </w:tc>
        <w:tc>
          <w:tcPr>
            <w:tcW w:w="7500" w:type="dxa"/>
          </w:tcPr>
          <w:p w14:paraId="30F24CC2" w14:textId="77777777" w:rsidR="00BD2AB4" w:rsidRDefault="00BD2AB4" w:rsidP="000528AD">
            <w:pPr>
              <w:jc w:val="left"/>
            </w:pPr>
            <w:r>
              <w:t xml:space="preserve">Measures the performance of the benchmark components by assuming that all dividends or distributions are reinvested into the benchmark without the deduction of any taxes that may apply. </w:t>
            </w:r>
          </w:p>
        </w:tc>
      </w:tr>
      <w:tr w:rsidR="00BD2AB4" w14:paraId="6EA01862" w14:textId="77777777" w:rsidTr="00BD2AB4">
        <w:tc>
          <w:tcPr>
            <w:tcW w:w="1516" w:type="dxa"/>
          </w:tcPr>
          <w:p w14:paraId="360BC4BB" w14:textId="77777777" w:rsidR="00BD2AB4" w:rsidRDefault="00BD2AB4" w:rsidP="000528AD">
            <w:pPr>
              <w:rPr>
                <w:rFonts w:cs="Arial"/>
                <w:szCs w:val="20"/>
              </w:rPr>
            </w:pPr>
            <w:r>
              <w:rPr>
                <w:rFonts w:cs="Arial"/>
                <w:b/>
                <w:bCs/>
                <w:szCs w:val="20"/>
              </w:rPr>
              <w:t>t</w:t>
            </w:r>
            <w:r w:rsidRPr="003129EA">
              <w:rPr>
                <w:rFonts w:cs="Arial"/>
                <w:b/>
                <w:bCs/>
                <w:szCs w:val="20"/>
              </w:rPr>
              <w:t>racking error</w:t>
            </w:r>
          </w:p>
          <w:p w14:paraId="7C86F9EB" w14:textId="77777777" w:rsidR="00BD2AB4" w:rsidRDefault="00BD2AB4" w:rsidP="000528AD">
            <w:pPr>
              <w:spacing w:after="240"/>
              <w:jc w:val="left"/>
              <w:rPr>
                <w:b/>
                <w:bCs/>
              </w:rPr>
            </w:pPr>
          </w:p>
        </w:tc>
        <w:tc>
          <w:tcPr>
            <w:tcW w:w="7500" w:type="dxa"/>
          </w:tcPr>
          <w:p w14:paraId="612EB138" w14:textId="77777777" w:rsidR="00BD2AB4" w:rsidRDefault="00BD2AB4" w:rsidP="000528AD">
            <w:pPr>
              <w:rPr>
                <w:rFonts w:cs="Arial"/>
                <w:szCs w:val="20"/>
              </w:rPr>
            </w:pPr>
            <w:r>
              <w:rPr>
                <w:rFonts w:cs="Arial"/>
                <w:szCs w:val="20"/>
              </w:rPr>
              <w:t xml:space="preserve">The annualised standard deviation of the difference in monthly returns between a Sub-Fund and its Benchmark. </w:t>
            </w:r>
          </w:p>
          <w:p w14:paraId="57518D21" w14:textId="77777777" w:rsidR="00BD2AB4" w:rsidRDefault="00BD2AB4" w:rsidP="000528AD">
            <w:pPr>
              <w:jc w:val="left"/>
            </w:pPr>
          </w:p>
        </w:tc>
      </w:tr>
      <w:tr w:rsidR="00BD2AB4" w14:paraId="67AB88F9" w14:textId="77777777" w:rsidTr="00BD2AB4">
        <w:tc>
          <w:tcPr>
            <w:tcW w:w="1516" w:type="dxa"/>
          </w:tcPr>
          <w:p w14:paraId="0ED448F0" w14:textId="77777777" w:rsidR="00BD2AB4" w:rsidRDefault="00BD2AB4" w:rsidP="000528AD">
            <w:pPr>
              <w:rPr>
                <w:rFonts w:cs="Arial"/>
                <w:b/>
                <w:bCs/>
                <w:szCs w:val="20"/>
              </w:rPr>
            </w:pPr>
            <w:r w:rsidRPr="00417909">
              <w:rPr>
                <w:rFonts w:cs="Arial"/>
                <w:b/>
                <w:bCs/>
                <w:szCs w:val="20"/>
              </w:rPr>
              <w:t>Transition Pathway Initiative (TPI)</w:t>
            </w:r>
          </w:p>
        </w:tc>
        <w:tc>
          <w:tcPr>
            <w:tcW w:w="7500" w:type="dxa"/>
          </w:tcPr>
          <w:p w14:paraId="00FED0DE" w14:textId="77777777" w:rsidR="00BD2AB4" w:rsidRDefault="00BD2AB4" w:rsidP="000528AD">
            <w:pPr>
              <w:rPr>
                <w:rFonts w:cs="Arial"/>
                <w:szCs w:val="20"/>
              </w:rPr>
            </w:pPr>
            <w:r w:rsidRPr="00417909">
              <w:rPr>
                <w:rFonts w:cs="Arial"/>
                <w:szCs w:val="20"/>
              </w:rPr>
              <w:t>A global initiative led by asset owners and supported by asset managers, aimed at investors to help assess companies’ preparedness for the transition to a low-carbon economy, supporting efforts to address climate change.</w:t>
            </w:r>
          </w:p>
          <w:p w14:paraId="4A9F9888" w14:textId="77777777" w:rsidR="00BD2AB4" w:rsidRDefault="00BD2AB4" w:rsidP="000528AD">
            <w:pPr>
              <w:rPr>
                <w:rFonts w:cs="Arial"/>
                <w:szCs w:val="20"/>
              </w:rPr>
            </w:pPr>
          </w:p>
        </w:tc>
      </w:tr>
    </w:tbl>
    <w:p w14:paraId="3AB2AF85" w14:textId="1C78C4F4" w:rsidR="003B287F" w:rsidRDefault="003B287F"/>
    <w:sectPr w:rsidR="003B287F" w:rsidSect="00BD2AB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B4"/>
    <w:rsid w:val="000420BD"/>
    <w:rsid w:val="00096DEF"/>
    <w:rsid w:val="00164452"/>
    <w:rsid w:val="00246B33"/>
    <w:rsid w:val="002628D3"/>
    <w:rsid w:val="003112AB"/>
    <w:rsid w:val="003B287F"/>
    <w:rsid w:val="007A2C2A"/>
    <w:rsid w:val="008A1CB5"/>
    <w:rsid w:val="00BD2AB4"/>
    <w:rsid w:val="00C377F1"/>
    <w:rsid w:val="00E5383B"/>
    <w:rsid w:val="00FC19CD"/>
    <w:rsid w:val="00FC4E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3FCF"/>
  <w15:chartTrackingRefBased/>
  <w15:docId w15:val="{0EA3D7C6-B84A-4C71-99E8-FF26736A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AB4"/>
    <w:pPr>
      <w:spacing w:after="0" w:line="240" w:lineRule="auto"/>
      <w:jc w:val="both"/>
    </w:pPr>
    <w:rPr>
      <w:rFonts w:ascii="Arial" w:eastAsia="Times New Roman" w:hAnsi="Arial" w:cs="Times New Roman"/>
      <w:kern w:val="0"/>
      <w:sz w:val="20"/>
      <w:szCs w:val="24"/>
      <w14:ligatures w14:val="none"/>
    </w:rPr>
  </w:style>
  <w:style w:type="paragraph" w:styleId="Heading1">
    <w:name w:val="heading 1"/>
    <w:basedOn w:val="Normal"/>
    <w:next w:val="Normal"/>
    <w:link w:val="Heading1Char"/>
    <w:uiPriority w:val="9"/>
    <w:qFormat/>
    <w:rsid w:val="00BD2AB4"/>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2AB4"/>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2AB4"/>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2AB4"/>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D2AB4"/>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D2AB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D2AB4"/>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D2AB4"/>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D2AB4"/>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AB4"/>
    <w:rPr>
      <w:rFonts w:eastAsiaTheme="majorEastAsia" w:cstheme="majorBidi"/>
      <w:color w:val="272727" w:themeColor="text1" w:themeTint="D8"/>
    </w:rPr>
  </w:style>
  <w:style w:type="paragraph" w:styleId="Title">
    <w:name w:val="Title"/>
    <w:basedOn w:val="Normal"/>
    <w:next w:val="Normal"/>
    <w:link w:val="TitleChar"/>
    <w:uiPriority w:val="10"/>
    <w:qFormat/>
    <w:rsid w:val="00BD2AB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2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AB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2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AB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D2AB4"/>
    <w:rPr>
      <w:i/>
      <w:iCs/>
      <w:color w:val="404040" w:themeColor="text1" w:themeTint="BF"/>
    </w:rPr>
  </w:style>
  <w:style w:type="paragraph" w:styleId="ListParagraph">
    <w:name w:val="List Paragraph"/>
    <w:basedOn w:val="Normal"/>
    <w:uiPriority w:val="34"/>
    <w:qFormat/>
    <w:rsid w:val="00BD2AB4"/>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D2AB4"/>
    <w:rPr>
      <w:i/>
      <w:iCs/>
      <w:color w:val="0F4761" w:themeColor="accent1" w:themeShade="BF"/>
    </w:rPr>
  </w:style>
  <w:style w:type="paragraph" w:styleId="IntenseQuote">
    <w:name w:val="Intense Quote"/>
    <w:basedOn w:val="Normal"/>
    <w:next w:val="Normal"/>
    <w:link w:val="IntenseQuoteChar"/>
    <w:uiPriority w:val="30"/>
    <w:qFormat/>
    <w:rsid w:val="00BD2AB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D2AB4"/>
    <w:rPr>
      <w:i/>
      <w:iCs/>
      <w:color w:val="0F4761" w:themeColor="accent1" w:themeShade="BF"/>
    </w:rPr>
  </w:style>
  <w:style w:type="character" w:styleId="IntenseReference">
    <w:name w:val="Intense Reference"/>
    <w:basedOn w:val="DefaultParagraphFont"/>
    <w:uiPriority w:val="32"/>
    <w:qFormat/>
    <w:rsid w:val="00BD2AB4"/>
    <w:rPr>
      <w:b/>
      <w:bCs/>
      <w:smallCaps/>
      <w:color w:val="0F4761" w:themeColor="accent1" w:themeShade="BF"/>
      <w:spacing w:val="5"/>
    </w:rPr>
  </w:style>
  <w:style w:type="table" w:styleId="TableGrid">
    <w:name w:val="Table Grid"/>
    <w:basedOn w:val="TableNormal"/>
    <w:uiPriority w:val="59"/>
    <w:rsid w:val="00BD2AB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Zacharek, Renata</dc:creator>
  <cp:keywords/>
  <dc:description/>
  <cp:lastModifiedBy>Zacharek, Renata</cp:lastModifiedBy>
  <cp:revision>6</cp:revision>
  <dcterms:created xsi:type="dcterms:W3CDTF">2026-03-06T13:08:00Z</dcterms:created>
  <dcterms:modified xsi:type="dcterms:W3CDTF">2026-03-06T13:15:00Z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R_PEERREVIEW">
    <vt:lpwstr>Peer Review Identifier</vt:lpwstr>
  </property>
  <property fmtid="{D5CDD505-2E9C-101B-9397-08002B2CF9AE}" pid="3" name="MSIP_Label_38f1469a-2c2a-4aee-b92b-090d4c5468ff_Enabled">
    <vt:lpwstr>true</vt:lpwstr>
  </property>
  <property fmtid="{D5CDD505-2E9C-101B-9397-08002B2CF9AE}" pid="4" name="MSIP_Label_38f1469a-2c2a-4aee-b92b-090d4c5468ff_SetDate">
    <vt:lpwstr>2026-03-06T13:02:21Z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647dc9e4-08d4-4708-9781-c78d122e042f</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y fmtid="{D5CDD505-2E9C-101B-9397-08002B2CF9AE}" pid="11" name="MPR_DocID">
    <vt:lpwstr>f37cdd0861524f17ae39fc7857d959f6</vt:lpwstr>
  </property>
  <property fmtid="{D5CDD505-2E9C-101B-9397-08002B2CF9AE}" pid="12" name="_AdHocReviewCycleID">
    <vt:i4>2059280015</vt:i4>
  </property>
  <property fmtid="{D5CDD505-2E9C-101B-9397-08002B2CF9AE}" pid="13" name="_NewReviewCycle">
    <vt:lpwstr/>
  </property>
  <property fmtid="{D5CDD505-2E9C-101B-9397-08002B2CF9AE}" pid="14" name="_EmailSubject">
    <vt:lpwstr>Document for Investment Solutions website upload </vt:lpwstr>
  </property>
  <property fmtid="{D5CDD505-2E9C-101B-9397-08002B2CF9AE}" pid="15" name="_AuthorEmail">
    <vt:lpwstr>renata.zacharek@mercer.com</vt:lpwstr>
  </property>
  <property fmtid="{D5CDD505-2E9C-101B-9397-08002B2CF9AE}" pid="16" name="_AuthorEmailDisplayName">
    <vt:lpwstr>Zacharek, Renata</vt:lpwstr>
  </property>
</Properties>
</file>